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7BC45" w14:textId="77777777" w:rsidR="00832986" w:rsidRDefault="00E90E49" w:rsidP="00900B76">
      <w:pPr>
        <w:pStyle w:val="3GPPHeader"/>
        <w:spacing w:after="60"/>
        <w:rPr>
          <w:sz w:val="32"/>
          <w:szCs w:val="32"/>
          <w:lang w:val="en-US"/>
        </w:rPr>
      </w:pPr>
      <w:r w:rsidRPr="00BB669A">
        <w:rPr>
          <w:lang w:val="en-US"/>
        </w:rPr>
        <w:t>3GPP TSG-RAN WG</w:t>
      </w:r>
      <w:r w:rsidR="00F20F5C" w:rsidRPr="00BB669A">
        <w:rPr>
          <w:lang w:val="en-US"/>
        </w:rPr>
        <w:t>2</w:t>
      </w:r>
      <w:r w:rsidRPr="00BB669A">
        <w:rPr>
          <w:lang w:val="en-US"/>
        </w:rPr>
        <w:t xml:space="preserve"> #</w:t>
      </w:r>
      <w:r w:rsidR="007A1255" w:rsidRPr="00BB669A">
        <w:rPr>
          <w:lang w:val="en-US"/>
        </w:rPr>
        <w:t>12</w:t>
      </w:r>
      <w:r w:rsidR="009642F4" w:rsidRPr="00BB669A">
        <w:rPr>
          <w:lang w:val="en-US"/>
        </w:rPr>
        <w:t>1</w:t>
      </w:r>
      <w:r w:rsidRPr="00BB669A">
        <w:rPr>
          <w:lang w:val="en-US"/>
        </w:rPr>
        <w:tab/>
      </w:r>
      <w:r w:rsidR="00832986" w:rsidRPr="00832986">
        <w:rPr>
          <w:sz w:val="32"/>
          <w:szCs w:val="32"/>
          <w:lang w:val="en-US"/>
        </w:rPr>
        <w:t>R2-2301301</w:t>
      </w:r>
    </w:p>
    <w:p w14:paraId="0DEF01D1" w14:textId="1BFE1E29" w:rsidR="00E90E49" w:rsidRPr="00CE0424" w:rsidRDefault="00087A55" w:rsidP="00900B76">
      <w:pPr>
        <w:pStyle w:val="3GPPHeader"/>
        <w:spacing w:after="60"/>
      </w:pPr>
      <w:r>
        <w:t>Athens</w:t>
      </w:r>
      <w:r w:rsidR="007A1255">
        <w:t xml:space="preserve">, </w:t>
      </w:r>
      <w:r>
        <w:t>Greece</w:t>
      </w:r>
      <w:r w:rsidR="00C268E6">
        <w:t xml:space="preserve">, </w:t>
      </w:r>
      <w:r>
        <w:t>27</w:t>
      </w:r>
      <w:r w:rsidRPr="00087A55">
        <w:rPr>
          <w:vertAlign w:val="superscript"/>
        </w:rPr>
        <w:t>th</w:t>
      </w:r>
      <w:r>
        <w:t xml:space="preserve"> February</w:t>
      </w:r>
      <w:r w:rsidR="00DF66E1">
        <w:t xml:space="preserve"> </w:t>
      </w:r>
      <w:r w:rsidR="00260112">
        <w:t xml:space="preserve">– </w:t>
      </w:r>
      <w:r>
        <w:t>3</w:t>
      </w:r>
      <w:r w:rsidRPr="00087A55">
        <w:rPr>
          <w:vertAlign w:val="superscript"/>
        </w:rPr>
        <w:t>rd</w:t>
      </w:r>
      <w:r>
        <w:t xml:space="preserve"> March</w:t>
      </w:r>
      <w:r w:rsidR="00260112">
        <w:t xml:space="preserve"> 202</w:t>
      </w:r>
      <w:r>
        <w:t>3</w:t>
      </w:r>
    </w:p>
    <w:p w14:paraId="252563D4" w14:textId="77777777" w:rsidR="00E90E49" w:rsidRPr="00CE0424" w:rsidRDefault="00E90E49" w:rsidP="00357380">
      <w:pPr>
        <w:pStyle w:val="3GPPHeader"/>
      </w:pPr>
    </w:p>
    <w:p w14:paraId="267378A2" w14:textId="4C34D3DB" w:rsidR="00E90E49" w:rsidRPr="00EE4D69" w:rsidRDefault="00E90E49" w:rsidP="00311702">
      <w:pPr>
        <w:pStyle w:val="3GPPHeader"/>
        <w:rPr>
          <w:sz w:val="22"/>
          <w:szCs w:val="22"/>
          <w:lang w:val="en-US"/>
        </w:rPr>
      </w:pPr>
      <w:r w:rsidRPr="00EE4D69">
        <w:rPr>
          <w:sz w:val="22"/>
          <w:szCs w:val="22"/>
          <w:lang w:val="en-US"/>
        </w:rPr>
        <w:t>Agenda Item:</w:t>
      </w:r>
      <w:r w:rsidRPr="00EE4D69">
        <w:rPr>
          <w:sz w:val="22"/>
          <w:szCs w:val="22"/>
          <w:lang w:val="en-US"/>
        </w:rPr>
        <w:tab/>
      </w:r>
      <w:r w:rsidR="004D7C87">
        <w:rPr>
          <w:sz w:val="22"/>
          <w:szCs w:val="22"/>
          <w:lang w:val="en-US"/>
        </w:rPr>
        <w:t>8.12.2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BAD33A5" w:rsidR="00E90E49" w:rsidRPr="00CE0424" w:rsidRDefault="003D3C45" w:rsidP="00311702">
      <w:pPr>
        <w:pStyle w:val="3GPPHeader"/>
        <w:rPr>
          <w:sz w:val="22"/>
          <w:szCs w:val="22"/>
        </w:rPr>
      </w:pPr>
      <w:r>
        <w:rPr>
          <w:sz w:val="22"/>
          <w:szCs w:val="22"/>
        </w:rPr>
        <w:t>Title:</w:t>
      </w:r>
      <w:r w:rsidR="00E90E49" w:rsidRPr="00CE0424">
        <w:rPr>
          <w:sz w:val="22"/>
          <w:szCs w:val="22"/>
        </w:rPr>
        <w:tab/>
      </w:r>
      <w:r w:rsidR="0017102C">
        <w:rPr>
          <w:sz w:val="22"/>
          <w:szCs w:val="22"/>
        </w:rPr>
        <w:t>Discussion on m</w:t>
      </w:r>
      <w:r w:rsidR="004A3BC9">
        <w:rPr>
          <w:sz w:val="22"/>
          <w:szCs w:val="22"/>
        </w:rPr>
        <w:t xml:space="preserve">obility enhancements for </w:t>
      </w:r>
      <w:proofErr w:type="spellStart"/>
      <w:r w:rsidR="004A3BC9">
        <w:rPr>
          <w:sz w:val="22"/>
          <w:szCs w:val="22"/>
        </w:rPr>
        <w:t>mIAB</w:t>
      </w:r>
      <w:proofErr w:type="spellEnd"/>
      <w:r w:rsidR="004A3BC9">
        <w:rPr>
          <w:sz w:val="22"/>
          <w:szCs w:val="22"/>
        </w:rPr>
        <w:t xml:space="preserve"> node</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3DA3">
        <w:rPr>
          <w:sz w:val="22"/>
          <w:szCs w:val="22"/>
        </w:rPr>
        <w:t>Discussion, Decision</w:t>
      </w:r>
    </w:p>
    <w:p w14:paraId="1DD4A9BC" w14:textId="77777777" w:rsidR="00E90E49" w:rsidRPr="00CE0424" w:rsidRDefault="00E90E49" w:rsidP="00E90E49"/>
    <w:p w14:paraId="028056FC" w14:textId="1A07B988" w:rsidR="00E90E49" w:rsidRDefault="00463D05" w:rsidP="00463D05">
      <w:pPr>
        <w:pStyle w:val="Heading1"/>
        <w:ind w:left="0" w:firstLine="0"/>
      </w:pPr>
      <w:r>
        <w:t>1</w:t>
      </w:r>
      <w:r>
        <w:tab/>
      </w:r>
      <w:r w:rsidR="00E90E49" w:rsidRPr="00CE0424">
        <w:t>Introduction</w:t>
      </w:r>
    </w:p>
    <w:p w14:paraId="33F936A8" w14:textId="5EA832BB" w:rsidR="007F25FA" w:rsidRDefault="007F25FA" w:rsidP="00CE0424">
      <w:pPr>
        <w:pStyle w:val="BodyText"/>
      </w:pPr>
      <w:r>
        <w:t>In the last RAN2#120 meeting, the following agreements have been reached regarding the mobility enhancements for mobile IAB:</w:t>
      </w:r>
    </w:p>
    <w:p w14:paraId="76D2810F" w14:textId="77777777" w:rsidR="007F25FA" w:rsidRPr="00105994" w:rsidRDefault="007F25FA" w:rsidP="007F25FA">
      <w:pPr>
        <w:pStyle w:val="Agreement"/>
        <w:pBdr>
          <w:top w:val="single" w:sz="4" w:space="1" w:color="auto"/>
          <w:left w:val="single" w:sz="4" w:space="4" w:color="auto"/>
          <w:bottom w:val="single" w:sz="4" w:space="1" w:color="auto"/>
          <w:right w:val="single" w:sz="4" w:space="4" w:color="auto"/>
        </w:pBdr>
        <w:tabs>
          <w:tab w:val="clear" w:pos="1619"/>
          <w:tab w:val="num" w:pos="709"/>
        </w:tabs>
        <w:ind w:left="709" w:hanging="567"/>
      </w:pPr>
      <w:r>
        <w:t xml:space="preserve">R2 assumes that </w:t>
      </w:r>
      <w:proofErr w:type="gramStart"/>
      <w:r>
        <w:t>It</w:t>
      </w:r>
      <w:proofErr w:type="gramEnd"/>
      <w:r>
        <w:t xml:space="preserve"> is up to RAN3 or SA2 to decide whether to support early mobile IAB indication in Msg5 because it depends whether donor CU needs to select an AMF supporting mobile IAB. </w:t>
      </w:r>
    </w:p>
    <w:p w14:paraId="04AE04FA" w14:textId="77777777" w:rsidR="007F25FA" w:rsidRDefault="007F25FA" w:rsidP="007F25FA">
      <w:pPr>
        <w:pStyle w:val="Agreement"/>
        <w:pBdr>
          <w:top w:val="single" w:sz="4" w:space="1" w:color="auto"/>
          <w:left w:val="single" w:sz="4" w:space="4" w:color="auto"/>
          <w:bottom w:val="single" w:sz="4" w:space="1" w:color="auto"/>
          <w:right w:val="single" w:sz="4" w:space="4" w:color="auto"/>
        </w:pBdr>
        <w:tabs>
          <w:tab w:val="clear" w:pos="1619"/>
          <w:tab w:val="num" w:pos="709"/>
        </w:tabs>
        <w:ind w:left="709" w:hanging="567"/>
      </w:pPr>
      <w:r>
        <w:t>R2 assumes that Donor CU can determine mobile IAB node's moving status via legacy reporting (</w:t>
      </w:r>
      <w:proofErr w:type="gramStart"/>
      <w:r>
        <w:t>e.g.</w:t>
      </w:r>
      <w:proofErr w:type="gramEnd"/>
      <w:r>
        <w:t xml:space="preserve"> mobility state and UE location / velocity specified in SON/MDT), i.e. R2 assumes enhanced / new reporting is not needed. </w:t>
      </w:r>
    </w:p>
    <w:p w14:paraId="2301AD49" w14:textId="77777777" w:rsidR="007F25FA" w:rsidRDefault="007F25FA" w:rsidP="007F25FA">
      <w:pPr>
        <w:pStyle w:val="Agreement"/>
        <w:pBdr>
          <w:top w:val="single" w:sz="4" w:space="1" w:color="auto"/>
          <w:left w:val="single" w:sz="4" w:space="4" w:color="auto"/>
          <w:bottom w:val="single" w:sz="4" w:space="1" w:color="auto"/>
          <w:right w:val="single" w:sz="4" w:space="4" w:color="auto"/>
        </w:pBdr>
        <w:tabs>
          <w:tab w:val="clear" w:pos="1619"/>
          <w:tab w:val="num" w:pos="709"/>
        </w:tabs>
        <w:ind w:left="709" w:hanging="567"/>
      </w:pPr>
      <w:r>
        <w:t xml:space="preserve">A mobile IAB node may camp on and connect to legacy Rel-16/Rel-17 IAB capable cell. </w:t>
      </w:r>
    </w:p>
    <w:p w14:paraId="1261816B" w14:textId="77777777" w:rsidR="007F25FA" w:rsidRDefault="007F25FA" w:rsidP="007F25FA">
      <w:pPr>
        <w:pStyle w:val="Agreement"/>
        <w:pBdr>
          <w:top w:val="single" w:sz="4" w:space="1" w:color="auto"/>
          <w:left w:val="single" w:sz="4" w:space="4" w:color="auto"/>
          <w:bottom w:val="single" w:sz="4" w:space="1" w:color="auto"/>
          <w:right w:val="single" w:sz="4" w:space="4" w:color="auto"/>
        </w:pBdr>
        <w:tabs>
          <w:tab w:val="clear" w:pos="1619"/>
          <w:tab w:val="num" w:pos="709"/>
        </w:tabs>
        <w:ind w:left="709" w:hanging="567"/>
      </w:pPr>
      <w:r>
        <w:t>R2 assumes "supporting mobile-IAB" indication is provided by Rel-18 Mobile IAB capable parent cell.</w:t>
      </w:r>
    </w:p>
    <w:p w14:paraId="41AEACAE" w14:textId="77777777" w:rsidR="007F25FA" w:rsidRDefault="007F25FA" w:rsidP="007F25FA">
      <w:pPr>
        <w:pStyle w:val="Agreement"/>
        <w:pBdr>
          <w:top w:val="single" w:sz="4" w:space="1" w:color="auto"/>
          <w:left w:val="single" w:sz="4" w:space="4" w:color="auto"/>
          <w:bottom w:val="single" w:sz="4" w:space="1" w:color="auto"/>
          <w:right w:val="single" w:sz="4" w:space="4" w:color="auto"/>
        </w:pBdr>
        <w:tabs>
          <w:tab w:val="clear" w:pos="1619"/>
          <w:tab w:val="num" w:pos="709"/>
        </w:tabs>
        <w:ind w:left="709" w:hanging="567"/>
      </w:pPr>
      <w:r>
        <w:t xml:space="preserve">Regarding the assumed </w:t>
      </w:r>
      <w:r w:rsidRPr="002A482A">
        <w:t>mobile-IAB cell type indication</w:t>
      </w:r>
      <w:r>
        <w:t xml:space="preserve">, RAN2 assumes is may be specified if some related UE behaviour is specified. </w:t>
      </w:r>
    </w:p>
    <w:p w14:paraId="31749BCF" w14:textId="77777777" w:rsidR="007F25FA" w:rsidRDefault="007F25FA" w:rsidP="00CE0424">
      <w:pPr>
        <w:pStyle w:val="BodyText"/>
      </w:pPr>
    </w:p>
    <w:p w14:paraId="5BDC6BA3" w14:textId="609DEB6D" w:rsidR="007F25FA" w:rsidRPr="00CE0424" w:rsidRDefault="007F25FA" w:rsidP="00CE0424">
      <w:pPr>
        <w:pStyle w:val="BodyText"/>
      </w:pPr>
      <w:r>
        <w:t xml:space="preserve">In this contribution we will address further aspects </w:t>
      </w:r>
      <w:r w:rsidR="009D624E">
        <w:t>regarding mobility for a mobile IAB.</w:t>
      </w:r>
    </w:p>
    <w:p w14:paraId="59E13DC4" w14:textId="63C3B6B2" w:rsidR="004000E8" w:rsidRDefault="00463D05" w:rsidP="00463D05">
      <w:pPr>
        <w:pStyle w:val="Heading1"/>
      </w:pPr>
      <w:bookmarkStart w:id="0" w:name="_Ref178064866"/>
      <w:r>
        <w:t>2</w:t>
      </w:r>
      <w:r>
        <w:tab/>
      </w:r>
      <w:r w:rsidR="004000E8" w:rsidRPr="00CE0424">
        <w:t>Discussion</w:t>
      </w:r>
      <w:bookmarkEnd w:id="0"/>
    </w:p>
    <w:p w14:paraId="310B7BBE" w14:textId="4EBF0F0A" w:rsidR="00F63950" w:rsidRDefault="00463D05" w:rsidP="00463D05">
      <w:pPr>
        <w:pStyle w:val="Heading2"/>
      </w:pPr>
      <w:r>
        <w:t>2.1</w:t>
      </w:r>
      <w:r>
        <w:tab/>
      </w:r>
      <w:r w:rsidR="00EE424A">
        <w:t>Identification of Mobile IAB cell</w:t>
      </w:r>
    </w:p>
    <w:p w14:paraId="7B9484F3" w14:textId="59C331A3" w:rsidR="00471ECA" w:rsidRDefault="00594168" w:rsidP="00594168">
      <w:pPr>
        <w:pStyle w:val="BodyText"/>
      </w:pPr>
      <w:r>
        <w:t>In the last RAN2#1</w:t>
      </w:r>
      <w:r w:rsidR="005172A0">
        <w:t xml:space="preserve">20 </w:t>
      </w:r>
      <w:r>
        <w:t xml:space="preserve">meeting, RAN2 discussed this </w:t>
      </w:r>
      <w:r w:rsidR="00E93667">
        <w:t>issue,</w:t>
      </w:r>
      <w:r w:rsidR="00F3650D">
        <w:t xml:space="preserve"> and the following agreements were made:</w:t>
      </w:r>
    </w:p>
    <w:p w14:paraId="22FF40EA" w14:textId="77777777" w:rsidR="005172A0" w:rsidRDefault="005172A0" w:rsidP="005172A0">
      <w:pPr>
        <w:pStyle w:val="Agreement"/>
        <w:pBdr>
          <w:top w:val="single" w:sz="4" w:space="1" w:color="auto"/>
          <w:left w:val="single" w:sz="4" w:space="4" w:color="auto"/>
          <w:bottom w:val="single" w:sz="4" w:space="1" w:color="auto"/>
          <w:right w:val="single" w:sz="4" w:space="4" w:color="auto"/>
        </w:pBdr>
      </w:pPr>
      <w:r w:rsidRPr="005A55B9">
        <w:rPr>
          <w:highlight w:val="yellow"/>
        </w:rPr>
        <w:t>A mobile IAB node may camp on and connect to legacy Rel-16/Rel-17 IAB capable cell</w:t>
      </w:r>
      <w:r>
        <w:t xml:space="preserve">. </w:t>
      </w:r>
    </w:p>
    <w:p w14:paraId="356A1139" w14:textId="77777777" w:rsidR="005172A0" w:rsidRDefault="005172A0" w:rsidP="005172A0">
      <w:pPr>
        <w:pStyle w:val="Agreement"/>
        <w:pBdr>
          <w:top w:val="single" w:sz="4" w:space="1" w:color="auto"/>
          <w:left w:val="single" w:sz="4" w:space="4" w:color="auto"/>
          <w:bottom w:val="single" w:sz="4" w:space="1" w:color="auto"/>
          <w:right w:val="single" w:sz="4" w:space="4" w:color="auto"/>
        </w:pBdr>
      </w:pPr>
      <w:r>
        <w:t>R2 assumes "supporting mobile-IAB" indication is provided by Rel-18 Mobile IAB capable parent cell.</w:t>
      </w:r>
    </w:p>
    <w:p w14:paraId="412384BC" w14:textId="77777777" w:rsidR="005172A0" w:rsidRDefault="005172A0" w:rsidP="005172A0">
      <w:pPr>
        <w:pStyle w:val="Agreement"/>
        <w:pBdr>
          <w:top w:val="single" w:sz="4" w:space="1" w:color="auto"/>
          <w:left w:val="single" w:sz="4" w:space="4" w:color="auto"/>
          <w:bottom w:val="single" w:sz="4" w:space="1" w:color="auto"/>
          <w:right w:val="single" w:sz="4" w:space="4" w:color="auto"/>
        </w:pBdr>
      </w:pPr>
      <w:r w:rsidRPr="005172A0">
        <w:rPr>
          <w:highlight w:val="yellow"/>
        </w:rPr>
        <w:t>Regarding the assumed mobile-IAB cell type indication, RAN2 assumes is may be specified if some related UE behaviour is specified</w:t>
      </w:r>
      <w:r>
        <w:t xml:space="preserve">. </w:t>
      </w:r>
    </w:p>
    <w:p w14:paraId="781D0204" w14:textId="77777777" w:rsidR="00F3650D" w:rsidRDefault="00F3650D" w:rsidP="00594168">
      <w:pPr>
        <w:pStyle w:val="BodyText"/>
      </w:pPr>
    </w:p>
    <w:p w14:paraId="57BF0B3E" w14:textId="61B096C7" w:rsidR="00E93667" w:rsidRDefault="00821D94" w:rsidP="00594168">
      <w:pPr>
        <w:pStyle w:val="BodyText"/>
      </w:pPr>
      <w:r>
        <w:t xml:space="preserve">According to the </w:t>
      </w:r>
      <w:r w:rsidR="005172A0">
        <w:t>last</w:t>
      </w:r>
      <w:r>
        <w:t xml:space="preserve"> agreement, </w:t>
      </w:r>
      <w:r w:rsidR="005172A0">
        <w:t>one issue</w:t>
      </w:r>
      <w:r>
        <w:t xml:space="preserve"> that need still to be clarifie</w:t>
      </w:r>
      <w:r w:rsidR="005172A0">
        <w:t>d</w:t>
      </w:r>
      <w:r>
        <w:t xml:space="preserve"> </w:t>
      </w:r>
      <w:r w:rsidR="005172A0">
        <w:t>is</w:t>
      </w:r>
      <w:r>
        <w:t xml:space="preserve"> if the indication we agree to broadcast can be used by the UEs to consider themselves as “onboard” UEs, also if this indication can also be used to improve some RRC procedure</w:t>
      </w:r>
      <w:r w:rsidR="005532E2">
        <w:t>s</w:t>
      </w:r>
      <w:r>
        <w:t xml:space="preserve"> as the cell (re)selection.</w:t>
      </w:r>
    </w:p>
    <w:p w14:paraId="3E2A7381" w14:textId="1020E2EE" w:rsidR="00821D94" w:rsidRDefault="00361FC4" w:rsidP="00594168">
      <w:pPr>
        <w:pStyle w:val="BodyText"/>
      </w:pPr>
      <w:r>
        <w:t xml:space="preserve">Since the indication </w:t>
      </w:r>
      <w:r w:rsidR="00D47116">
        <w:t xml:space="preserve">on whether a certain cell is a “mobile-IAB” cell is broadcasted in a SIB, this basically means that this indication may be received by UE that </w:t>
      </w:r>
      <w:r w:rsidR="00F15C28">
        <w:t xml:space="preserve">are in the vehicle in which the mobile IAB is mounted. Therefore, </w:t>
      </w:r>
      <w:r w:rsidR="00F15C28">
        <w:lastRenderedPageBreak/>
        <w:t xml:space="preserve">if we enforce a UE behaviour based on the presence or absence of this indication, this may </w:t>
      </w:r>
      <w:r w:rsidR="00414F6E">
        <w:t>also have</w:t>
      </w:r>
      <w:r w:rsidR="00F15C28">
        <w:t xml:space="preserve"> an impact on those UE that </w:t>
      </w:r>
      <w:r w:rsidR="007128E9">
        <w:t>have no interest in connecting to a mobile IAB cell.</w:t>
      </w:r>
      <w:r w:rsidR="00AC5C95">
        <w:t xml:space="preserve"> In fact, </w:t>
      </w:r>
      <w:r w:rsidR="00414F6E">
        <w:t>it</w:t>
      </w:r>
      <w:r w:rsidR="00AC5C95">
        <w:t xml:space="preserve"> is extremely </w:t>
      </w:r>
      <w:r w:rsidR="00CB6562">
        <w:t>difficult</w:t>
      </w:r>
      <w:r w:rsidR="00AC5C95">
        <w:t xml:space="preserve"> to characterize a </w:t>
      </w:r>
      <w:r w:rsidR="00CB6562">
        <w:t xml:space="preserve">solution to understand whether a UE is “onboard” </w:t>
      </w:r>
      <w:r w:rsidR="0092353E">
        <w:t xml:space="preserve">(i.e., will be served by an </w:t>
      </w:r>
      <w:proofErr w:type="spellStart"/>
      <w:r w:rsidR="0092353E">
        <w:t>mIAB</w:t>
      </w:r>
      <w:proofErr w:type="spellEnd"/>
      <w:r w:rsidR="0092353E">
        <w:t>-node for a considerable time)</w:t>
      </w:r>
      <w:r w:rsidR="00CB6562">
        <w:t xml:space="preserve"> or not.</w:t>
      </w:r>
    </w:p>
    <w:p w14:paraId="4511757A" w14:textId="58AE7816" w:rsidR="001A5DD2" w:rsidRDefault="001A5DD2" w:rsidP="00832986">
      <w:pPr>
        <w:pStyle w:val="Observation"/>
      </w:pPr>
      <w:bookmarkStart w:id="1" w:name="_Toc127465006"/>
      <w:r>
        <w:t xml:space="preserve">How a UE understands </w:t>
      </w:r>
      <w:r w:rsidR="00414F6E">
        <w:t xml:space="preserve">it </w:t>
      </w:r>
      <w:r>
        <w:t>is an onboard UE is up to the UE implementation.</w:t>
      </w:r>
      <w:r w:rsidR="00F47CD4">
        <w:t xml:space="preserve"> It would be complex to specify this.</w:t>
      </w:r>
      <w:bookmarkEnd w:id="1"/>
    </w:p>
    <w:p w14:paraId="1EAB40F1" w14:textId="00B1B3B3" w:rsidR="00463D05" w:rsidRDefault="005532E2" w:rsidP="005532E2">
      <w:pPr>
        <w:pStyle w:val="BodyText"/>
      </w:pPr>
      <w:r w:rsidRPr="005532E2">
        <w:t>Another question is if the UE can use the indication that a certain cell is a “mobile-IAB” cell to improve some RRC procedure</w:t>
      </w:r>
      <w:r w:rsidR="00414F6E">
        <w:t>(s)</w:t>
      </w:r>
      <w:r w:rsidRPr="005532E2">
        <w:t xml:space="preserve">. </w:t>
      </w:r>
      <w:r>
        <w:t xml:space="preserve">However, </w:t>
      </w:r>
      <w:proofErr w:type="gramStart"/>
      <w:r>
        <w:t>in order to</w:t>
      </w:r>
      <w:proofErr w:type="gramEnd"/>
      <w:r>
        <w:t xml:space="preserve"> assume that a UE is capable to do so, the fundamental pre-requisite is the understanding by the UE that is an “onboard” UE. Without this understanding, it is true that </w:t>
      </w:r>
      <w:r w:rsidR="00282F55">
        <w:t xml:space="preserve">system operation may be more efficient for those UEs that are physically located inside the vehicle in which the mobile IAB is </w:t>
      </w:r>
      <w:r w:rsidR="007A44D8">
        <w:t>mounted but</w:t>
      </w:r>
      <w:r w:rsidR="00282F55">
        <w:t xml:space="preserve"> is also true that this may also have a negative impact for those surrounding UE that should not connect to the mobile IAB </w:t>
      </w:r>
      <w:proofErr w:type="spellStart"/>
      <w:r w:rsidR="00282F55">
        <w:t>cell.</w:t>
      </w:r>
      <w:r w:rsidR="00CB6AAE">
        <w:t>However</w:t>
      </w:r>
      <w:proofErr w:type="spellEnd"/>
      <w:r w:rsidR="00CB6AAE">
        <w:t xml:space="preserve">, until RAN2 has a proper use case which justifies the need to clearly specify </w:t>
      </w:r>
      <w:r w:rsidR="00B5108E">
        <w:t xml:space="preserve">the UE </w:t>
      </w:r>
      <w:proofErr w:type="spellStart"/>
      <w:r w:rsidR="00B5108E">
        <w:t>behavior</w:t>
      </w:r>
      <w:proofErr w:type="spellEnd"/>
      <w:r w:rsidR="00B5108E">
        <w:t xml:space="preserve"> based upon this indication, RAN2 should not use this feature.</w:t>
      </w:r>
      <w:r w:rsidR="00282F55">
        <w:t>:</w:t>
      </w:r>
    </w:p>
    <w:p w14:paraId="3C4867A7" w14:textId="771A3A26" w:rsidR="00282F55" w:rsidRPr="005532E2" w:rsidRDefault="00B5108E" w:rsidP="00282F55">
      <w:pPr>
        <w:pStyle w:val="Proposal"/>
      </w:pPr>
      <w:r w:rsidRPr="00B5108E">
        <w:t xml:space="preserve"> </w:t>
      </w:r>
      <w:bookmarkStart w:id="2" w:name="_Toc127465174"/>
      <w:r w:rsidRPr="00B5108E">
        <w:t xml:space="preserve">Unless if </w:t>
      </w:r>
      <w:r>
        <w:t>RAN2</w:t>
      </w:r>
      <w:r w:rsidRPr="00B5108E">
        <w:t xml:space="preserve"> define</w:t>
      </w:r>
      <w:r>
        <w:t>s</w:t>
      </w:r>
      <w:r w:rsidRPr="00B5108E">
        <w:t xml:space="preserve"> how the UE determines itself to be onboard, and then </w:t>
      </w:r>
      <w:r w:rsidR="00BD653C">
        <w:t xml:space="preserve">subsequently </w:t>
      </w:r>
      <w:r w:rsidRPr="00B5108E">
        <w:t xml:space="preserve">define the UE </w:t>
      </w:r>
      <w:r w:rsidR="00894D77">
        <w:t>behaviour</w:t>
      </w:r>
      <w:r w:rsidR="00BD653C">
        <w:t xml:space="preserve"> associated with this indication</w:t>
      </w:r>
      <w:r w:rsidR="00894D77">
        <w:t xml:space="preserve">, the feature of SIB indication of mobile-IAB cell is not </w:t>
      </w:r>
      <w:r w:rsidR="0021338F">
        <w:t>pursued</w:t>
      </w:r>
      <w:r w:rsidRPr="00B5108E">
        <w:t>.</w:t>
      </w:r>
      <w:bookmarkEnd w:id="2"/>
    </w:p>
    <w:p w14:paraId="0D31E163" w14:textId="77777777" w:rsidR="003B4B16" w:rsidRDefault="00260112" w:rsidP="003B4B16">
      <w:pPr>
        <w:pStyle w:val="Heading2"/>
      </w:pPr>
      <w:r>
        <w:t>2.3</w:t>
      </w:r>
      <w:r>
        <w:tab/>
      </w:r>
      <w:r w:rsidR="003B4B16">
        <w:t>Open issues on group mobility</w:t>
      </w:r>
    </w:p>
    <w:p w14:paraId="6B9E4C24" w14:textId="77777777" w:rsidR="00605E8A" w:rsidRDefault="00605E8A" w:rsidP="000D2E6A">
      <w:pPr>
        <w:pStyle w:val="BodyText"/>
      </w:pPr>
    </w:p>
    <w:p w14:paraId="0E8EF9BD" w14:textId="77777777" w:rsidR="00605E8A" w:rsidRDefault="00605E8A" w:rsidP="00605E8A">
      <w:pPr>
        <w:pStyle w:val="BodyText"/>
      </w:pPr>
      <w:r>
        <w:t>When the mobile IAB-MT changes its donor-CU (changed e.g., during a handover leaving the old CU service area), this has also an impact on UEs served by the mobile IAB. This is mainly because some of the parameter of the cell that is hosted on the mobile IAB may change and because the new CU may decide to reconfigure even the DU part of the mobile IAB (in case of full migration).</w:t>
      </w:r>
    </w:p>
    <w:p w14:paraId="1E0F8EC5" w14:textId="77777777" w:rsidR="00605E8A" w:rsidRDefault="00605E8A" w:rsidP="00605E8A">
      <w:pPr>
        <w:pStyle w:val="BodyText"/>
      </w:pPr>
      <w:r>
        <w:t>However, one of the aspects to be considered is that, from the perspective of a UE served by the mobile IAB, even if the mobile IAB-MT performs a handover, a UE that is served by the mobile IAB does not really change any cell as is still physically located within the coverage of the mobile IAB.</w:t>
      </w:r>
    </w:p>
    <w:p w14:paraId="55E4DD81" w14:textId="77777777" w:rsidR="00605E8A" w:rsidRDefault="00605E8A" w:rsidP="00605E8A">
      <w:pPr>
        <w:pStyle w:val="Observation"/>
      </w:pPr>
      <w:bookmarkStart w:id="3" w:name="_Toc125646685"/>
      <w:r w:rsidRPr="00FF3B47">
        <w:t>Even if the mobile IAB-MT perform</w:t>
      </w:r>
      <w:r>
        <w:t>s</w:t>
      </w:r>
      <w:r w:rsidRPr="00FF3B47">
        <w:t xml:space="preserve"> a handover, a UE that is served by the mobile IAB does not really change any cell as </w:t>
      </w:r>
      <w:r>
        <w:t xml:space="preserve">it </w:t>
      </w:r>
      <w:r w:rsidRPr="00FF3B47">
        <w:t>is still physically located within the coverage of the mobile IAB.</w:t>
      </w:r>
      <w:bookmarkEnd w:id="3"/>
    </w:p>
    <w:p w14:paraId="481271B5" w14:textId="77777777" w:rsidR="00605E8A" w:rsidRDefault="00605E8A" w:rsidP="00605E8A">
      <w:pPr>
        <w:pStyle w:val="BodyText"/>
      </w:pPr>
      <w:r>
        <w:t>According to this, in principle some RRC procedures that normally happen during a handover procedure can be avoided. This will bring benefits in terms of less connectivity interruption but also less signalling overhead for the UE and the network. In fact, since the cell in which a UE is connected does not really change, most likely the TA (timing advance) value that the UE is using for the UL synchronization can still fully be reused and this means that the RACH procedure may not be needed in case of a group mobility of the UEs served by the mobile IAB.</w:t>
      </w:r>
    </w:p>
    <w:p w14:paraId="06A1106A" w14:textId="77777777" w:rsidR="00605E8A" w:rsidRDefault="00605E8A" w:rsidP="00605E8A">
      <w:pPr>
        <w:pStyle w:val="Proposal"/>
      </w:pPr>
      <w:bookmarkStart w:id="4" w:name="_Toc118410445"/>
      <w:bookmarkStart w:id="5" w:name="_Toc127465175"/>
      <w:r>
        <w:t>In case of a group handover of the UE served by the mobile IAB, RAN2 to consider a solution where RACH-less handover is supported.</w:t>
      </w:r>
      <w:bookmarkEnd w:id="4"/>
      <w:bookmarkEnd w:id="5"/>
    </w:p>
    <w:p w14:paraId="6096241E" w14:textId="77777777" w:rsidR="00605E8A" w:rsidRDefault="00605E8A" w:rsidP="000D2E6A">
      <w:pPr>
        <w:pStyle w:val="BodyText"/>
      </w:pPr>
    </w:p>
    <w:p w14:paraId="3B557973" w14:textId="77777777" w:rsidR="00605E8A" w:rsidRDefault="00605E8A" w:rsidP="000D2E6A">
      <w:pPr>
        <w:pStyle w:val="BodyText"/>
      </w:pPr>
    </w:p>
    <w:p w14:paraId="21E820DB" w14:textId="32DBF512" w:rsidR="000D2E6A" w:rsidRDefault="00D22D09" w:rsidP="000D2E6A">
      <w:pPr>
        <w:pStyle w:val="BodyText"/>
      </w:pPr>
      <w:r>
        <w:t xml:space="preserve">For group mobility one </w:t>
      </w:r>
      <w:r w:rsidR="000D2E6A">
        <w:t>aspect to be considered is</w:t>
      </w:r>
      <w:r w:rsidR="0034185C">
        <w:t xml:space="preserve"> how to handle the group mobility from a signalling perspective and what kind of impact this has over the air interface. </w:t>
      </w:r>
      <w:r w:rsidR="00841A04">
        <w:t>When more than one UE served by the mobile IAB need</w:t>
      </w:r>
      <w:r w:rsidR="00C712E3">
        <w:t>s</w:t>
      </w:r>
      <w:r w:rsidR="00841A04">
        <w:t xml:space="preserve"> to be handed </w:t>
      </w:r>
      <w:r w:rsidR="00CE0232">
        <w:t>over</w:t>
      </w:r>
      <w:r w:rsidR="00841A04">
        <w:t xml:space="preserve"> to the same cell (that in this case is </w:t>
      </w:r>
      <w:r w:rsidR="00C712E3">
        <w:t xml:space="preserve">the </w:t>
      </w:r>
      <w:r w:rsidR="00841A04">
        <w:t>new cell of the mobile IAB itself)</w:t>
      </w:r>
      <w:r w:rsidR="000E0EC6">
        <w:t xml:space="preserve"> certainly some </w:t>
      </w:r>
      <w:r w:rsidR="00D07AEF">
        <w:t>enhancement</w:t>
      </w:r>
      <w:r w:rsidR="000E0EC6">
        <w:t xml:space="preserve"> on the signa</w:t>
      </w:r>
      <w:r w:rsidR="00C712E3">
        <w:t>l</w:t>
      </w:r>
      <w:r w:rsidR="000E0EC6">
        <w:t>ling can be done.</w:t>
      </w:r>
    </w:p>
    <w:p w14:paraId="284361C0" w14:textId="598D7D6F" w:rsidR="003B4B16" w:rsidRDefault="000E0EC6" w:rsidP="00D07AEF">
      <w:pPr>
        <w:pStyle w:val="BodyText"/>
      </w:pPr>
      <w:r>
        <w:t>One possible enhancement over the X2/Xn interface could be that the source node (</w:t>
      </w:r>
      <w:r w:rsidR="00176BE8">
        <w:t xml:space="preserve">i.e., </w:t>
      </w:r>
      <w:r>
        <w:t>the old donor CU) may</w:t>
      </w:r>
      <w:r w:rsidR="00176BE8">
        <w:t xml:space="preserve"> include a list of UE contexts for which the handover is needed in one message that is send to the target node (i.e., the new donor CU) rather than triggering one handover message one for each of those UEs.</w:t>
      </w:r>
      <w:r w:rsidR="005C6706">
        <w:t xml:space="preserve"> However, when it comes to the air interface, according to the legacy procedure</w:t>
      </w:r>
      <w:r w:rsidR="0023256A">
        <w:t>,</w:t>
      </w:r>
      <w:r w:rsidR="005C6706">
        <w:t xml:space="preserve"> the handover command is UE</w:t>
      </w:r>
      <w:r w:rsidR="009D1E23">
        <w:t>-</w:t>
      </w:r>
      <w:r w:rsidR="005C6706">
        <w:t>specific and is not clear</w:t>
      </w:r>
      <w:r w:rsidR="00C07074">
        <w:t xml:space="preserve"> how the source node may</w:t>
      </w:r>
      <w:r w:rsidR="00D07AEF">
        <w:t xml:space="preserve"> deliver multiple </w:t>
      </w:r>
      <w:r w:rsidR="00D07AEF" w:rsidRPr="00D07AEF">
        <w:rPr>
          <w:i/>
          <w:iCs/>
        </w:rPr>
        <w:t>RRCReconfiguration</w:t>
      </w:r>
      <w:r w:rsidR="00D07AEF">
        <w:t xml:space="preserve"> messages to multiple UE</w:t>
      </w:r>
      <w:r w:rsidR="003C55F5">
        <w:t>,</w:t>
      </w:r>
      <w:r w:rsidR="00D07AEF">
        <w:t xml:space="preserve"> if those are received within only one message over the X2/Xn</w:t>
      </w:r>
      <w:r w:rsidR="00CE0232">
        <w:t xml:space="preserve"> (or N2/NGAP)</w:t>
      </w:r>
      <w:r w:rsidR="00D07AEF">
        <w:t xml:space="preserve"> interface.</w:t>
      </w:r>
    </w:p>
    <w:p w14:paraId="42F9C70D" w14:textId="61C45D8F" w:rsidR="00D07AEF" w:rsidRDefault="00587226" w:rsidP="00D07AEF">
      <w:pPr>
        <w:pStyle w:val="BodyText"/>
      </w:pPr>
      <w:r>
        <w:t>Of course</w:t>
      </w:r>
      <w:r w:rsidR="003C55F5">
        <w:t>,</w:t>
      </w:r>
      <w:r>
        <w:t xml:space="preserve"> RAN2 may discuss solution</w:t>
      </w:r>
      <w:r w:rsidR="003C55F5">
        <w:t>s</w:t>
      </w:r>
      <w:r>
        <w:t xml:space="preserve"> </w:t>
      </w:r>
      <w:proofErr w:type="gramStart"/>
      <w:r>
        <w:t>in order to</w:t>
      </w:r>
      <w:proofErr w:type="gramEnd"/>
      <w:r>
        <w:t xml:space="preserve"> handle this problem, but before doing this it would be good to wait for RAN3 progress </w:t>
      </w:r>
      <w:r w:rsidR="003C55F5">
        <w:t xml:space="preserve">in </w:t>
      </w:r>
      <w:r>
        <w:t>this</w:t>
      </w:r>
      <w:r w:rsidR="003C55F5">
        <w:t xml:space="preserve"> matter</w:t>
      </w:r>
      <w:r>
        <w:t>.</w:t>
      </w:r>
    </w:p>
    <w:p w14:paraId="54A3AB34" w14:textId="45462FF5" w:rsidR="00587226" w:rsidRDefault="00587226" w:rsidP="00587226">
      <w:pPr>
        <w:pStyle w:val="Proposal"/>
      </w:pPr>
      <w:bookmarkStart w:id="6" w:name="_Toc127465176"/>
      <w:r>
        <w:t>RAN2 to wait for RAN3 progress before discussion enhancement related to the group mobility procedure.</w:t>
      </w:r>
      <w:bookmarkEnd w:id="6"/>
    </w:p>
    <w:p w14:paraId="19CF1C82" w14:textId="2BE7CE7C" w:rsidR="00587226" w:rsidRDefault="002034B2" w:rsidP="00587226">
      <w:pPr>
        <w:pStyle w:val="BodyText"/>
      </w:pPr>
      <w:r>
        <w:lastRenderedPageBreak/>
        <w:t>Further aspects that RAN2 can start to discuss already now is how a group handover is triggered. So far</w:t>
      </w:r>
      <w:r w:rsidR="003C55F5">
        <w:t>,</w:t>
      </w:r>
      <w:r>
        <w:t xml:space="preserve"> a legacy handover is triggered </w:t>
      </w:r>
      <w:proofErr w:type="gramStart"/>
      <w:r w:rsidR="003C55F5">
        <w:t xml:space="preserve">by </w:t>
      </w:r>
      <w:r>
        <w:t xml:space="preserve"> a</w:t>
      </w:r>
      <w:proofErr w:type="gramEnd"/>
      <w:r>
        <w:t xml:space="preserve"> source node according to a measurement report received </w:t>
      </w:r>
      <w:r w:rsidR="003C55F5">
        <w:t xml:space="preserve">from </w:t>
      </w:r>
      <w:r>
        <w:t xml:space="preserve">the UE. Here we have </w:t>
      </w:r>
      <w:proofErr w:type="gramStart"/>
      <w:r>
        <w:t xml:space="preserve">a </w:t>
      </w:r>
      <w:r w:rsidR="003C55F5">
        <w:t>the</w:t>
      </w:r>
      <w:proofErr w:type="gramEnd"/>
      <w:r w:rsidR="003C55F5">
        <w:t xml:space="preserve"> </w:t>
      </w:r>
      <w:r>
        <w:t xml:space="preserve">special situation </w:t>
      </w:r>
      <w:r w:rsidR="005339F3">
        <w:t xml:space="preserve">that </w:t>
      </w:r>
      <w:r>
        <w:t xml:space="preserve">the CU to which the mobile IAB is connected may receive multiple measurement reports </w:t>
      </w:r>
      <w:r w:rsidR="003C55F5">
        <w:t xml:space="preserve">from </w:t>
      </w:r>
      <w:r>
        <w:t>the UEs served by the mobile IAB within a time span that can be quite large. This is because each UE may be configured with different measurement reporting configuration.</w:t>
      </w:r>
      <w:r w:rsidR="000A3DC1">
        <w:t xml:space="preserve"> According to this, it </w:t>
      </w:r>
      <w:r w:rsidR="003C55F5">
        <w:t xml:space="preserve">is </w:t>
      </w:r>
      <w:r w:rsidR="000A3DC1">
        <w:t>not clear how the group handover is triggered.</w:t>
      </w:r>
    </w:p>
    <w:p w14:paraId="4410EB6C" w14:textId="76E9336D" w:rsidR="000A3DC1" w:rsidRDefault="000A3DC1" w:rsidP="000A3DC1">
      <w:pPr>
        <w:pStyle w:val="Proposal"/>
      </w:pPr>
      <w:bookmarkStart w:id="7" w:name="_Toc127465177"/>
      <w:r>
        <w:t xml:space="preserve">RAN2 to discuss the triggering condition for the group </w:t>
      </w:r>
      <w:r w:rsidR="00595268">
        <w:t>mobility</w:t>
      </w:r>
      <w:r>
        <w:t xml:space="preserve"> of the UEs served by the mobile IAB.</w:t>
      </w:r>
      <w:bookmarkEnd w:id="7"/>
    </w:p>
    <w:p w14:paraId="06540012" w14:textId="3A07029F" w:rsidR="00595268" w:rsidRDefault="00595268" w:rsidP="00595268">
      <w:pPr>
        <w:pStyle w:val="BodyText"/>
      </w:pPr>
      <w:r>
        <w:t xml:space="preserve">Another aspect that is not clear is how to handle </w:t>
      </w:r>
      <w:r w:rsidR="00AB07A7">
        <w:t xml:space="preserve">during the group mobility the </w:t>
      </w:r>
      <w:r>
        <w:t xml:space="preserve">UEs that are in RRC_IDLE and RRC_INACTIVE </w:t>
      </w:r>
      <w:r w:rsidR="00AB07A7">
        <w:t xml:space="preserve">and </w:t>
      </w:r>
      <w:r>
        <w:t>that are inside the vehicle in</w:t>
      </w:r>
      <w:r w:rsidR="00AB07A7">
        <w:t xml:space="preserve"> which the mobile IAB is mounted. While for the UEs that are in RRC_IDLE one may say that there is no impact (as they will perform cell (re</w:t>
      </w:r>
      <w:r w:rsidR="003C55F5">
        <w:t>-</w:t>
      </w:r>
      <w:r w:rsidR="00AB07A7">
        <w:t xml:space="preserve">)selection at some point), a special handling of UEs in RRC_INACTIVE may be needed. </w:t>
      </w:r>
      <w:r w:rsidR="00365180">
        <w:t>For th</w:t>
      </w:r>
      <w:r w:rsidR="003C55F5">
        <w:t>ese</w:t>
      </w:r>
      <w:r w:rsidR="00365180">
        <w:t xml:space="preserve"> UE</w:t>
      </w:r>
      <w:r w:rsidR="00D8101C">
        <w:t>s</w:t>
      </w:r>
      <w:r w:rsidR="00365180">
        <w:t>, their context needs to be relocated from the old donor CU to the new donor CU and when the group mobility is performed</w:t>
      </w:r>
      <w:r w:rsidR="003C55F5">
        <w:t>,</w:t>
      </w:r>
      <w:r w:rsidR="00D8101C">
        <w:t xml:space="preserve"> one solution would be to do this relocation on the network side. If this is the case, one </w:t>
      </w:r>
      <w:r w:rsidR="003C55F5">
        <w:t>can</w:t>
      </w:r>
      <w:r w:rsidR="00D8101C">
        <w:t xml:space="preserve"> say that as far as </w:t>
      </w:r>
      <w:r w:rsidR="0094706A">
        <w:t>a</w:t>
      </w:r>
      <w:r w:rsidR="00D8101C">
        <w:t xml:space="preserve"> UE i</w:t>
      </w:r>
      <w:r w:rsidR="0094706A">
        <w:t>n RRC_INACTIVE is located inside the vehicle in which the mobile IAB is mounted</w:t>
      </w:r>
      <w:r w:rsidR="003C55F5">
        <w:t>,</w:t>
      </w:r>
      <w:r w:rsidR="0094706A">
        <w:t xml:space="preserve"> there would be no need to do any RNA update procedure since the UE context has been already relocated on the network side and the network is perfectly aware of where these UEs in RRC_INACTIVE are. </w:t>
      </w:r>
    </w:p>
    <w:p w14:paraId="0CE149B1" w14:textId="61227079" w:rsidR="0094706A" w:rsidRPr="00587226" w:rsidRDefault="0094706A" w:rsidP="00595268">
      <w:pPr>
        <w:pStyle w:val="Proposal"/>
      </w:pPr>
      <w:bookmarkStart w:id="8" w:name="_Toc127465178"/>
      <w:r>
        <w:t>RAN2 to discuss how to handle UEs in RRC_IDLE and RRC_INACTIVE during the group mobility of the UEs (in RRC_CONNECTED) served by the mobile IAB.</w:t>
      </w:r>
      <w:bookmarkEnd w:id="8"/>
    </w:p>
    <w:p w14:paraId="20D74898" w14:textId="6826DF48" w:rsidR="00C01F33" w:rsidRPr="00CE0424" w:rsidRDefault="003569C3"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B901E85" w14:textId="7A2C9932" w:rsidR="00832986"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65006" w:history="1">
        <w:r w:rsidR="00832986" w:rsidRPr="00161B4C">
          <w:rPr>
            <w:rStyle w:val="Hyperlink"/>
            <w:noProof/>
          </w:rPr>
          <w:t>Observation 1</w:t>
        </w:r>
        <w:r w:rsidR="00832986">
          <w:rPr>
            <w:rFonts w:asciiTheme="minorHAnsi" w:eastAsiaTheme="minorEastAsia" w:hAnsiTheme="minorHAnsi" w:cstheme="minorBidi"/>
            <w:b w:val="0"/>
            <w:noProof/>
            <w:sz w:val="22"/>
            <w:szCs w:val="22"/>
            <w:lang w:val="en-SE" w:eastAsia="en-SE"/>
          </w:rPr>
          <w:tab/>
        </w:r>
        <w:r w:rsidR="00832986" w:rsidRPr="00161B4C">
          <w:rPr>
            <w:rStyle w:val="Hyperlink"/>
            <w:noProof/>
          </w:rPr>
          <w:t>How a UE understands it is an onboard UE is up to the UE implementation. It would be complex to specify this.</w:t>
        </w:r>
      </w:hyperlink>
    </w:p>
    <w:p w14:paraId="029CA090" w14:textId="32EF82B3"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5A1BAB" w14:textId="295FB7B0" w:rsidR="00605E8A"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65174" w:history="1">
        <w:r w:rsidR="00605E8A" w:rsidRPr="007B00A3">
          <w:rPr>
            <w:rStyle w:val="Hyperlink"/>
            <w:noProof/>
          </w:rPr>
          <w:t>Proposal 1</w:t>
        </w:r>
        <w:r w:rsidR="00605E8A">
          <w:rPr>
            <w:rFonts w:asciiTheme="minorHAnsi" w:eastAsiaTheme="minorEastAsia" w:hAnsiTheme="minorHAnsi" w:cstheme="minorBidi"/>
            <w:b w:val="0"/>
            <w:noProof/>
            <w:sz w:val="22"/>
            <w:szCs w:val="22"/>
            <w:lang w:val="en-SE" w:eastAsia="en-SE"/>
          </w:rPr>
          <w:tab/>
        </w:r>
        <w:r w:rsidR="00605E8A" w:rsidRPr="007B00A3">
          <w:rPr>
            <w:rStyle w:val="Hyperlink"/>
            <w:noProof/>
          </w:rPr>
          <w:t>Unless if RAN2 defines how the UE determines itself to be onboard, and then subsequently define the UE behaviour associated with this indication, the feature of SIB indication of mobile-IAB cell is not pursued.</w:t>
        </w:r>
      </w:hyperlink>
    </w:p>
    <w:p w14:paraId="05E46344" w14:textId="782AFE98" w:rsidR="00605E8A" w:rsidRDefault="00605E8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65175" w:history="1">
        <w:r w:rsidRPr="007B00A3">
          <w:rPr>
            <w:rStyle w:val="Hyperlink"/>
            <w:noProof/>
          </w:rPr>
          <w:t>Proposal 2</w:t>
        </w:r>
        <w:r>
          <w:rPr>
            <w:rFonts w:asciiTheme="minorHAnsi" w:eastAsiaTheme="minorEastAsia" w:hAnsiTheme="minorHAnsi" w:cstheme="minorBidi"/>
            <w:b w:val="0"/>
            <w:noProof/>
            <w:sz w:val="22"/>
            <w:szCs w:val="22"/>
            <w:lang w:val="en-SE" w:eastAsia="en-SE"/>
          </w:rPr>
          <w:tab/>
        </w:r>
        <w:r w:rsidRPr="007B00A3">
          <w:rPr>
            <w:rStyle w:val="Hyperlink"/>
            <w:noProof/>
          </w:rPr>
          <w:t>In case of a group handover of the UE served by the mobile IAB, RAN2 to consider a solution where RACH-less handover is supported.</w:t>
        </w:r>
      </w:hyperlink>
    </w:p>
    <w:p w14:paraId="25C0C9CC" w14:textId="5EB46827" w:rsidR="00605E8A" w:rsidRDefault="00605E8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65176" w:history="1">
        <w:r w:rsidRPr="007B00A3">
          <w:rPr>
            <w:rStyle w:val="Hyperlink"/>
            <w:noProof/>
          </w:rPr>
          <w:t>Proposal 3</w:t>
        </w:r>
        <w:r>
          <w:rPr>
            <w:rFonts w:asciiTheme="minorHAnsi" w:eastAsiaTheme="minorEastAsia" w:hAnsiTheme="minorHAnsi" w:cstheme="minorBidi"/>
            <w:b w:val="0"/>
            <w:noProof/>
            <w:sz w:val="22"/>
            <w:szCs w:val="22"/>
            <w:lang w:val="en-SE" w:eastAsia="en-SE"/>
          </w:rPr>
          <w:tab/>
        </w:r>
        <w:r w:rsidRPr="007B00A3">
          <w:rPr>
            <w:rStyle w:val="Hyperlink"/>
            <w:noProof/>
          </w:rPr>
          <w:t>RAN2 to wait for RAN3 progress before discussion enhancement related to the group mobility procedure.</w:t>
        </w:r>
      </w:hyperlink>
    </w:p>
    <w:p w14:paraId="700A6362" w14:textId="5C0A8C63" w:rsidR="00605E8A" w:rsidRDefault="00605E8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65177" w:history="1">
        <w:r w:rsidRPr="007B00A3">
          <w:rPr>
            <w:rStyle w:val="Hyperlink"/>
            <w:noProof/>
          </w:rPr>
          <w:t>Proposal 4</w:t>
        </w:r>
        <w:r>
          <w:rPr>
            <w:rFonts w:asciiTheme="minorHAnsi" w:eastAsiaTheme="minorEastAsia" w:hAnsiTheme="minorHAnsi" w:cstheme="minorBidi"/>
            <w:b w:val="0"/>
            <w:noProof/>
            <w:sz w:val="22"/>
            <w:szCs w:val="22"/>
            <w:lang w:val="en-SE" w:eastAsia="en-SE"/>
          </w:rPr>
          <w:tab/>
        </w:r>
        <w:r w:rsidRPr="007B00A3">
          <w:rPr>
            <w:rStyle w:val="Hyperlink"/>
            <w:noProof/>
          </w:rPr>
          <w:t>RAN2 to discuss the triggering condition for the group mobility of the UEs served by the mobile IAB.</w:t>
        </w:r>
      </w:hyperlink>
    </w:p>
    <w:p w14:paraId="5993A35B" w14:textId="15A0E3EE" w:rsidR="00605E8A" w:rsidRDefault="00605E8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65178" w:history="1">
        <w:r w:rsidRPr="007B00A3">
          <w:rPr>
            <w:rStyle w:val="Hyperlink"/>
            <w:noProof/>
          </w:rPr>
          <w:t>Proposal 5</w:t>
        </w:r>
        <w:r>
          <w:rPr>
            <w:rFonts w:asciiTheme="minorHAnsi" w:eastAsiaTheme="minorEastAsia" w:hAnsiTheme="minorHAnsi" w:cstheme="minorBidi"/>
            <w:b w:val="0"/>
            <w:noProof/>
            <w:sz w:val="22"/>
            <w:szCs w:val="22"/>
            <w:lang w:val="en-SE" w:eastAsia="en-SE"/>
          </w:rPr>
          <w:tab/>
        </w:r>
        <w:r w:rsidRPr="007B00A3">
          <w:rPr>
            <w:rStyle w:val="Hyperlink"/>
            <w:noProof/>
          </w:rPr>
          <w:t>RAN2 to discuss how to handle UEs in RRC_IDLE and RRC_INACTIVE during the group mobility of the UEs (in RRC_CONNECTED) served by the mobile IAB.</w:t>
        </w:r>
      </w:hyperlink>
    </w:p>
    <w:p w14:paraId="64F3E645" w14:textId="0FEEC489" w:rsidR="00C01F33" w:rsidRPr="003569C3" w:rsidRDefault="006E1C82" w:rsidP="003569C3">
      <w:pPr>
        <w:pStyle w:val="BodyText"/>
        <w:rPr>
          <w:b/>
        </w:rPr>
      </w:pPr>
      <w:r>
        <w:rPr>
          <w:b/>
          <w:bCs/>
          <w:lang w:val="en-US"/>
        </w:rPr>
        <w:fldChar w:fldCharType="end"/>
      </w:r>
    </w:p>
    <w:p w14:paraId="7BD5CFC3" w14:textId="54F17372" w:rsidR="00F507D1" w:rsidRPr="00CE0424" w:rsidRDefault="003569C3" w:rsidP="00CE0424">
      <w:pPr>
        <w:pStyle w:val="Heading1"/>
      </w:pPr>
      <w:bookmarkStart w:id="9" w:name="_In-sequence_SDU_delivery"/>
      <w:bookmarkEnd w:id="9"/>
      <w:r>
        <w:t>4</w:t>
      </w:r>
      <w:r>
        <w:tab/>
      </w:r>
      <w:r w:rsidR="00F507D1" w:rsidRPr="00CE0424">
        <w:t>References</w:t>
      </w:r>
    </w:p>
    <w:bookmarkStart w:id="10" w:name="_Ref174151459"/>
    <w:bookmarkStart w:id="11" w:name="_Ref189809556"/>
    <w:p w14:paraId="242560CB" w14:textId="0C17D569" w:rsidR="00B96A6F" w:rsidRDefault="003569C3" w:rsidP="00B96A6F">
      <w:pPr>
        <w:pStyle w:val="Reference"/>
      </w:pPr>
      <w:r>
        <w:fldChar w:fldCharType="begin"/>
      </w:r>
      <w:r>
        <w:instrText xml:space="preserve"> HYPERLINK "http://www.3gpp.org/ftp//tsg_ran/TSG_RAN/TSGR_96/Docs/</w:instrText>
      </w:r>
      <w:r>
        <w:cr/>
        <w:instrText xml:space="preserve">RP-221815.zip" </w:instrText>
      </w:r>
      <w:r>
        <w:fldChar w:fldCharType="separate"/>
      </w:r>
      <w:r w:rsidR="00B96A6F" w:rsidRPr="003569C3">
        <w:rPr>
          <w:rStyle w:val="Hyperlink"/>
        </w:rPr>
        <w:t>RP-221815</w:t>
      </w:r>
      <w:r>
        <w:fldChar w:fldCharType="end"/>
      </w:r>
      <w:r w:rsidR="00B96A6F">
        <w:t>, WID on Mobile IAB for NR, 3GPP TSG RAN#96, Budapest, Hungary, June 2022</w:t>
      </w:r>
    </w:p>
    <w:p w14:paraId="4193CA81" w14:textId="14D4E9A1" w:rsidR="005F3025" w:rsidRPr="00CE0424" w:rsidRDefault="005F3025" w:rsidP="00B96A6F">
      <w:pPr>
        <w:pStyle w:val="Reference"/>
        <w:numPr>
          <w:ilvl w:val="0"/>
          <w:numId w:val="0"/>
        </w:numPr>
        <w:ind w:left="567"/>
      </w:pPr>
    </w:p>
    <w:bookmarkEnd w:id="10"/>
    <w:bookmarkEnd w:id="11"/>
    <w:p w14:paraId="5DCC939F"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34A98" w14:textId="77777777" w:rsidR="00C80E81" w:rsidRDefault="00C80E81">
      <w:r>
        <w:separator/>
      </w:r>
    </w:p>
  </w:endnote>
  <w:endnote w:type="continuationSeparator" w:id="0">
    <w:p w14:paraId="363DBED4" w14:textId="77777777" w:rsidR="00C80E81" w:rsidRDefault="00C80E81">
      <w:r>
        <w:continuationSeparator/>
      </w:r>
    </w:p>
  </w:endnote>
  <w:endnote w:type="continuationNotice" w:id="1">
    <w:p w14:paraId="044CFD20" w14:textId="77777777" w:rsidR="00C80E81" w:rsidRDefault="00C80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22BE5" w14:textId="77777777" w:rsidR="00C80E81" w:rsidRDefault="00C80E81">
      <w:r>
        <w:separator/>
      </w:r>
    </w:p>
  </w:footnote>
  <w:footnote w:type="continuationSeparator" w:id="0">
    <w:p w14:paraId="16482118" w14:textId="77777777" w:rsidR="00C80E81" w:rsidRDefault="00C80E81">
      <w:r>
        <w:continuationSeparator/>
      </w:r>
    </w:p>
  </w:footnote>
  <w:footnote w:type="continuationNotice" w:id="1">
    <w:p w14:paraId="39553431" w14:textId="77777777" w:rsidR="00C80E81" w:rsidRDefault="00C80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387E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1C7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AE1AAD"/>
    <w:multiLevelType w:val="hybridMultilevel"/>
    <w:tmpl w:val="94DC6076"/>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2070E330"/>
    <w:lvl w:ilvl="0" w:tplc="69043A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A85D06"/>
    <w:multiLevelType w:val="hybridMultilevel"/>
    <w:tmpl w:val="D4D0A74A"/>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F33D55"/>
    <w:multiLevelType w:val="hybridMultilevel"/>
    <w:tmpl w:val="8BEA2970"/>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29399160">
    <w:abstractNumId w:val="4"/>
  </w:num>
  <w:num w:numId="2" w16cid:durableId="2036344015">
    <w:abstractNumId w:val="21"/>
  </w:num>
  <w:num w:numId="3" w16cid:durableId="1794013560">
    <w:abstractNumId w:val="16"/>
  </w:num>
  <w:num w:numId="4" w16cid:durableId="1627926238">
    <w:abstractNumId w:val="17"/>
  </w:num>
  <w:num w:numId="5" w16cid:durableId="1975217026">
    <w:abstractNumId w:val="13"/>
  </w:num>
  <w:num w:numId="6" w16cid:durableId="382103448">
    <w:abstractNumId w:val="19"/>
  </w:num>
  <w:num w:numId="7" w16cid:durableId="1426609368">
    <w:abstractNumId w:val="25"/>
  </w:num>
  <w:num w:numId="8" w16cid:durableId="1760564910">
    <w:abstractNumId w:val="14"/>
  </w:num>
  <w:num w:numId="9" w16cid:durableId="788008244">
    <w:abstractNumId w:val="10"/>
  </w:num>
  <w:num w:numId="10" w16cid:durableId="1811940105">
    <w:abstractNumId w:val="2"/>
  </w:num>
  <w:num w:numId="11" w16cid:durableId="1609310653">
    <w:abstractNumId w:val="1"/>
  </w:num>
  <w:num w:numId="12" w16cid:durableId="428308332">
    <w:abstractNumId w:val="0"/>
  </w:num>
  <w:num w:numId="13" w16cid:durableId="1070075486">
    <w:abstractNumId w:val="22"/>
  </w:num>
  <w:num w:numId="14" w16cid:durableId="1941832911">
    <w:abstractNumId w:val="23"/>
  </w:num>
  <w:num w:numId="15" w16cid:durableId="86000768">
    <w:abstractNumId w:val="18"/>
  </w:num>
  <w:num w:numId="16" w16cid:durableId="237447196">
    <w:abstractNumId w:val="27"/>
  </w:num>
  <w:num w:numId="17" w16cid:durableId="25568216">
    <w:abstractNumId w:val="7"/>
  </w:num>
  <w:num w:numId="18" w16cid:durableId="1343701733">
    <w:abstractNumId w:val="9"/>
  </w:num>
  <w:num w:numId="19" w16cid:durableId="1500071779">
    <w:abstractNumId w:val="5"/>
  </w:num>
  <w:num w:numId="20" w16cid:durableId="987856435">
    <w:abstractNumId w:val="34"/>
  </w:num>
  <w:num w:numId="21" w16cid:durableId="1937130557">
    <w:abstractNumId w:val="15"/>
  </w:num>
  <w:num w:numId="22" w16cid:durableId="1068920194">
    <w:abstractNumId w:val="32"/>
  </w:num>
  <w:num w:numId="23" w16cid:durableId="389235655">
    <w:abstractNumId w:val="11"/>
  </w:num>
  <w:num w:numId="24" w16cid:durableId="1089306301">
    <w:abstractNumId w:val="6"/>
  </w:num>
  <w:num w:numId="25" w16cid:durableId="772867361">
    <w:abstractNumId w:val="8"/>
  </w:num>
  <w:num w:numId="26" w16cid:durableId="533424805">
    <w:abstractNumId w:val="31"/>
  </w:num>
  <w:num w:numId="27" w16cid:durableId="1280995436">
    <w:abstractNumId w:val="35"/>
  </w:num>
  <w:num w:numId="28" w16cid:durableId="779834585">
    <w:abstractNumId w:val="26"/>
  </w:num>
  <w:num w:numId="29" w16cid:durableId="2145080927">
    <w:abstractNumId w:val="12"/>
  </w:num>
  <w:num w:numId="30" w16cid:durableId="13781679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0948244">
    <w:abstractNumId w:val="3"/>
  </w:num>
  <w:num w:numId="32" w16cid:durableId="1995377747">
    <w:abstractNumId w:val="29"/>
  </w:num>
  <w:num w:numId="33" w16cid:durableId="673611264">
    <w:abstractNumId w:val="29"/>
  </w:num>
  <w:num w:numId="34" w16cid:durableId="1919710352">
    <w:abstractNumId w:val="20"/>
  </w:num>
  <w:num w:numId="35" w16cid:durableId="1674916298">
    <w:abstractNumId w:val="28"/>
  </w:num>
  <w:num w:numId="36" w16cid:durableId="1752392562">
    <w:abstractNumId w:val="24"/>
  </w:num>
  <w:num w:numId="37" w16cid:durableId="1073284136">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51A"/>
    <w:rsid w:val="00002A37"/>
    <w:rsid w:val="0000564C"/>
    <w:rsid w:val="00006446"/>
    <w:rsid w:val="00006896"/>
    <w:rsid w:val="00007CDC"/>
    <w:rsid w:val="00011B28"/>
    <w:rsid w:val="00015D15"/>
    <w:rsid w:val="000207AB"/>
    <w:rsid w:val="00022E94"/>
    <w:rsid w:val="000254D1"/>
    <w:rsid w:val="0002564D"/>
    <w:rsid w:val="00025ECA"/>
    <w:rsid w:val="000325B8"/>
    <w:rsid w:val="00034B57"/>
    <w:rsid w:val="00034C15"/>
    <w:rsid w:val="00036BA1"/>
    <w:rsid w:val="000422E2"/>
    <w:rsid w:val="00042F22"/>
    <w:rsid w:val="000444EF"/>
    <w:rsid w:val="00052A07"/>
    <w:rsid w:val="000534E3"/>
    <w:rsid w:val="0005606A"/>
    <w:rsid w:val="00057117"/>
    <w:rsid w:val="000616E7"/>
    <w:rsid w:val="0006487E"/>
    <w:rsid w:val="00065E1A"/>
    <w:rsid w:val="00075502"/>
    <w:rsid w:val="00077E5F"/>
    <w:rsid w:val="0008036A"/>
    <w:rsid w:val="00081AE6"/>
    <w:rsid w:val="000855EB"/>
    <w:rsid w:val="00085B52"/>
    <w:rsid w:val="000866F2"/>
    <w:rsid w:val="00087A55"/>
    <w:rsid w:val="0009009F"/>
    <w:rsid w:val="00091557"/>
    <w:rsid w:val="000924C1"/>
    <w:rsid w:val="000924F0"/>
    <w:rsid w:val="0009253E"/>
    <w:rsid w:val="00093474"/>
    <w:rsid w:val="0009510F"/>
    <w:rsid w:val="0009630A"/>
    <w:rsid w:val="000A1B7B"/>
    <w:rsid w:val="000A22EF"/>
    <w:rsid w:val="000A3DC1"/>
    <w:rsid w:val="000A44C0"/>
    <w:rsid w:val="000A56F2"/>
    <w:rsid w:val="000B2719"/>
    <w:rsid w:val="000B3A8F"/>
    <w:rsid w:val="000B4AB9"/>
    <w:rsid w:val="000B58C3"/>
    <w:rsid w:val="000B61E9"/>
    <w:rsid w:val="000C165A"/>
    <w:rsid w:val="000C2E19"/>
    <w:rsid w:val="000D0D07"/>
    <w:rsid w:val="000D2E6A"/>
    <w:rsid w:val="000D4797"/>
    <w:rsid w:val="000E0527"/>
    <w:rsid w:val="000E0EC6"/>
    <w:rsid w:val="000E1E92"/>
    <w:rsid w:val="000E236C"/>
    <w:rsid w:val="000F06D6"/>
    <w:rsid w:val="000F0EB1"/>
    <w:rsid w:val="000F1106"/>
    <w:rsid w:val="000F3BE9"/>
    <w:rsid w:val="000F3F6C"/>
    <w:rsid w:val="000F6DF3"/>
    <w:rsid w:val="001005FF"/>
    <w:rsid w:val="001062FB"/>
    <w:rsid w:val="001063E6"/>
    <w:rsid w:val="0011074F"/>
    <w:rsid w:val="00113CF4"/>
    <w:rsid w:val="001153EA"/>
    <w:rsid w:val="001154CD"/>
    <w:rsid w:val="00115643"/>
    <w:rsid w:val="001160D9"/>
    <w:rsid w:val="00116765"/>
    <w:rsid w:val="0012076F"/>
    <w:rsid w:val="001219F5"/>
    <w:rsid w:val="00121A20"/>
    <w:rsid w:val="0012377F"/>
    <w:rsid w:val="00124314"/>
    <w:rsid w:val="00126B4A"/>
    <w:rsid w:val="00132FD0"/>
    <w:rsid w:val="001343EB"/>
    <w:rsid w:val="001344C0"/>
    <w:rsid w:val="001346FA"/>
    <w:rsid w:val="00135252"/>
    <w:rsid w:val="00137AB5"/>
    <w:rsid w:val="00137F0B"/>
    <w:rsid w:val="00145668"/>
    <w:rsid w:val="00151E23"/>
    <w:rsid w:val="001526E0"/>
    <w:rsid w:val="00153590"/>
    <w:rsid w:val="00155177"/>
    <w:rsid w:val="001551B5"/>
    <w:rsid w:val="001659C1"/>
    <w:rsid w:val="0017102C"/>
    <w:rsid w:val="00173A8E"/>
    <w:rsid w:val="0017502C"/>
    <w:rsid w:val="00176BE8"/>
    <w:rsid w:val="0018143F"/>
    <w:rsid w:val="00181FF8"/>
    <w:rsid w:val="001849E3"/>
    <w:rsid w:val="00190AC1"/>
    <w:rsid w:val="001920BD"/>
    <w:rsid w:val="0019341A"/>
    <w:rsid w:val="00195B60"/>
    <w:rsid w:val="00197DF9"/>
    <w:rsid w:val="001A1987"/>
    <w:rsid w:val="001A2564"/>
    <w:rsid w:val="001A5DD2"/>
    <w:rsid w:val="001A6173"/>
    <w:rsid w:val="001A621C"/>
    <w:rsid w:val="001A6CBA"/>
    <w:rsid w:val="001B0D97"/>
    <w:rsid w:val="001B374F"/>
    <w:rsid w:val="001B5A5D"/>
    <w:rsid w:val="001C1BAB"/>
    <w:rsid w:val="001C1CE5"/>
    <w:rsid w:val="001C3D2A"/>
    <w:rsid w:val="001C66D5"/>
    <w:rsid w:val="001D0E3C"/>
    <w:rsid w:val="001D0E90"/>
    <w:rsid w:val="001D316D"/>
    <w:rsid w:val="001D3937"/>
    <w:rsid w:val="001D51BA"/>
    <w:rsid w:val="001D53E7"/>
    <w:rsid w:val="001D6342"/>
    <w:rsid w:val="001D6D53"/>
    <w:rsid w:val="001E58E2"/>
    <w:rsid w:val="001E7AED"/>
    <w:rsid w:val="001F3916"/>
    <w:rsid w:val="001F54C5"/>
    <w:rsid w:val="001F5BEA"/>
    <w:rsid w:val="001F662C"/>
    <w:rsid w:val="001F7074"/>
    <w:rsid w:val="00200490"/>
    <w:rsid w:val="00201F3A"/>
    <w:rsid w:val="002034B2"/>
    <w:rsid w:val="00203680"/>
    <w:rsid w:val="00203F96"/>
    <w:rsid w:val="002041E9"/>
    <w:rsid w:val="002069B2"/>
    <w:rsid w:val="00207A5C"/>
    <w:rsid w:val="00207FA3"/>
    <w:rsid w:val="0021338F"/>
    <w:rsid w:val="00213DCC"/>
    <w:rsid w:val="00214DA8"/>
    <w:rsid w:val="00215423"/>
    <w:rsid w:val="002158FA"/>
    <w:rsid w:val="00220600"/>
    <w:rsid w:val="00221196"/>
    <w:rsid w:val="002224DB"/>
    <w:rsid w:val="002226E6"/>
    <w:rsid w:val="00223E74"/>
    <w:rsid w:val="00223FCB"/>
    <w:rsid w:val="002252C3"/>
    <w:rsid w:val="00225C54"/>
    <w:rsid w:val="00230765"/>
    <w:rsid w:val="00230D18"/>
    <w:rsid w:val="002319E4"/>
    <w:rsid w:val="0023256A"/>
    <w:rsid w:val="00235632"/>
    <w:rsid w:val="00235872"/>
    <w:rsid w:val="0023604A"/>
    <w:rsid w:val="00241559"/>
    <w:rsid w:val="002435B3"/>
    <w:rsid w:val="002458EB"/>
    <w:rsid w:val="00245E54"/>
    <w:rsid w:val="00247466"/>
    <w:rsid w:val="002500C8"/>
    <w:rsid w:val="00257543"/>
    <w:rsid w:val="00260112"/>
    <w:rsid w:val="002617E7"/>
    <w:rsid w:val="00264228"/>
    <w:rsid w:val="00264334"/>
    <w:rsid w:val="0026473E"/>
    <w:rsid w:val="00266214"/>
    <w:rsid w:val="00267C83"/>
    <w:rsid w:val="0027144F"/>
    <w:rsid w:val="00271813"/>
    <w:rsid w:val="00271F3A"/>
    <w:rsid w:val="00273278"/>
    <w:rsid w:val="002737F4"/>
    <w:rsid w:val="00274A39"/>
    <w:rsid w:val="002805F5"/>
    <w:rsid w:val="00280751"/>
    <w:rsid w:val="0028280A"/>
    <w:rsid w:val="00282F55"/>
    <w:rsid w:val="00286ACD"/>
    <w:rsid w:val="00287838"/>
    <w:rsid w:val="002907B5"/>
    <w:rsid w:val="00292EB7"/>
    <w:rsid w:val="002935CC"/>
    <w:rsid w:val="002939FD"/>
    <w:rsid w:val="00296227"/>
    <w:rsid w:val="00296F44"/>
    <w:rsid w:val="0029777D"/>
    <w:rsid w:val="002A055E"/>
    <w:rsid w:val="002A1D4E"/>
    <w:rsid w:val="002A2869"/>
    <w:rsid w:val="002B24D6"/>
    <w:rsid w:val="002C41E6"/>
    <w:rsid w:val="002D071A"/>
    <w:rsid w:val="002D34B2"/>
    <w:rsid w:val="002D35D1"/>
    <w:rsid w:val="002D36D8"/>
    <w:rsid w:val="002D48B0"/>
    <w:rsid w:val="002D49D7"/>
    <w:rsid w:val="002D5B37"/>
    <w:rsid w:val="002D6539"/>
    <w:rsid w:val="002D7637"/>
    <w:rsid w:val="002D79E8"/>
    <w:rsid w:val="002E17F2"/>
    <w:rsid w:val="002E3427"/>
    <w:rsid w:val="002E4AAE"/>
    <w:rsid w:val="002E7CAE"/>
    <w:rsid w:val="002F1B74"/>
    <w:rsid w:val="002F2771"/>
    <w:rsid w:val="002F37A9"/>
    <w:rsid w:val="002F5B0D"/>
    <w:rsid w:val="00301CE6"/>
    <w:rsid w:val="0030256B"/>
    <w:rsid w:val="0030501F"/>
    <w:rsid w:val="00307BA1"/>
    <w:rsid w:val="00311702"/>
    <w:rsid w:val="00311E82"/>
    <w:rsid w:val="00313FD6"/>
    <w:rsid w:val="003143BD"/>
    <w:rsid w:val="00315363"/>
    <w:rsid w:val="00315654"/>
    <w:rsid w:val="003203ED"/>
    <w:rsid w:val="003209C3"/>
    <w:rsid w:val="00322C9F"/>
    <w:rsid w:val="00324A56"/>
    <w:rsid w:val="00324D23"/>
    <w:rsid w:val="00325EDA"/>
    <w:rsid w:val="003304FF"/>
    <w:rsid w:val="00331751"/>
    <w:rsid w:val="00334579"/>
    <w:rsid w:val="00335858"/>
    <w:rsid w:val="00336BDA"/>
    <w:rsid w:val="00337F4E"/>
    <w:rsid w:val="0034185C"/>
    <w:rsid w:val="00342BD7"/>
    <w:rsid w:val="00346DB5"/>
    <w:rsid w:val="00346DED"/>
    <w:rsid w:val="003477B1"/>
    <w:rsid w:val="00351360"/>
    <w:rsid w:val="00351374"/>
    <w:rsid w:val="003569C3"/>
    <w:rsid w:val="00357380"/>
    <w:rsid w:val="003602D9"/>
    <w:rsid w:val="003604CE"/>
    <w:rsid w:val="00361FC4"/>
    <w:rsid w:val="00362622"/>
    <w:rsid w:val="00365180"/>
    <w:rsid w:val="00365C67"/>
    <w:rsid w:val="003660D1"/>
    <w:rsid w:val="00370E47"/>
    <w:rsid w:val="003742AC"/>
    <w:rsid w:val="00377CE1"/>
    <w:rsid w:val="00381355"/>
    <w:rsid w:val="00385BF0"/>
    <w:rsid w:val="003939FF"/>
    <w:rsid w:val="00397CB9"/>
    <w:rsid w:val="003A2223"/>
    <w:rsid w:val="003A2A0F"/>
    <w:rsid w:val="003A45A1"/>
    <w:rsid w:val="003A5B0A"/>
    <w:rsid w:val="003A6BAC"/>
    <w:rsid w:val="003A70A4"/>
    <w:rsid w:val="003A7EF3"/>
    <w:rsid w:val="003B159C"/>
    <w:rsid w:val="003B369F"/>
    <w:rsid w:val="003B36A3"/>
    <w:rsid w:val="003B4B16"/>
    <w:rsid w:val="003B64BB"/>
    <w:rsid w:val="003B7FE5"/>
    <w:rsid w:val="003C11C8"/>
    <w:rsid w:val="003C2702"/>
    <w:rsid w:val="003C55F5"/>
    <w:rsid w:val="003C7806"/>
    <w:rsid w:val="003D109F"/>
    <w:rsid w:val="003D2478"/>
    <w:rsid w:val="003D3C45"/>
    <w:rsid w:val="003D3FF8"/>
    <w:rsid w:val="003D5B1F"/>
    <w:rsid w:val="003D5F40"/>
    <w:rsid w:val="003E15FA"/>
    <w:rsid w:val="003E22C9"/>
    <w:rsid w:val="003E3EBC"/>
    <w:rsid w:val="003E55E4"/>
    <w:rsid w:val="003E74E3"/>
    <w:rsid w:val="003F059F"/>
    <w:rsid w:val="003F05C7"/>
    <w:rsid w:val="003F2CD4"/>
    <w:rsid w:val="003F6BBE"/>
    <w:rsid w:val="003F6E4E"/>
    <w:rsid w:val="004000E8"/>
    <w:rsid w:val="0040014D"/>
    <w:rsid w:val="00402E2B"/>
    <w:rsid w:val="0040512B"/>
    <w:rsid w:val="00405CA5"/>
    <w:rsid w:val="00407CD3"/>
    <w:rsid w:val="00410134"/>
    <w:rsid w:val="00410B72"/>
    <w:rsid w:val="00410F18"/>
    <w:rsid w:val="0041263E"/>
    <w:rsid w:val="00413AAC"/>
    <w:rsid w:val="00413E92"/>
    <w:rsid w:val="00414F6E"/>
    <w:rsid w:val="00415A59"/>
    <w:rsid w:val="00416BBA"/>
    <w:rsid w:val="00421105"/>
    <w:rsid w:val="004223C4"/>
    <w:rsid w:val="00422AA4"/>
    <w:rsid w:val="00422CFA"/>
    <w:rsid w:val="004242F4"/>
    <w:rsid w:val="004260BE"/>
    <w:rsid w:val="00427248"/>
    <w:rsid w:val="0043039F"/>
    <w:rsid w:val="00431B84"/>
    <w:rsid w:val="00435A90"/>
    <w:rsid w:val="00437447"/>
    <w:rsid w:val="00441A92"/>
    <w:rsid w:val="004431DC"/>
    <w:rsid w:val="00444F56"/>
    <w:rsid w:val="00446488"/>
    <w:rsid w:val="004473B9"/>
    <w:rsid w:val="004517AA"/>
    <w:rsid w:val="00452CAC"/>
    <w:rsid w:val="00454BBD"/>
    <w:rsid w:val="00457565"/>
    <w:rsid w:val="00457B71"/>
    <w:rsid w:val="00463D05"/>
    <w:rsid w:val="004669E2"/>
    <w:rsid w:val="00466C32"/>
    <w:rsid w:val="00470C31"/>
    <w:rsid w:val="00471DE0"/>
    <w:rsid w:val="00471ECA"/>
    <w:rsid w:val="004734D0"/>
    <w:rsid w:val="0047556B"/>
    <w:rsid w:val="00477768"/>
    <w:rsid w:val="004913F7"/>
    <w:rsid w:val="00492BC5"/>
    <w:rsid w:val="004952B5"/>
    <w:rsid w:val="004964F1"/>
    <w:rsid w:val="004A16BC"/>
    <w:rsid w:val="004A2696"/>
    <w:rsid w:val="004A2B94"/>
    <w:rsid w:val="004A3BC9"/>
    <w:rsid w:val="004B0D7C"/>
    <w:rsid w:val="004B6F6A"/>
    <w:rsid w:val="004B7C0C"/>
    <w:rsid w:val="004C3898"/>
    <w:rsid w:val="004C43C9"/>
    <w:rsid w:val="004C7414"/>
    <w:rsid w:val="004D36B1"/>
    <w:rsid w:val="004D7C8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2A0"/>
    <w:rsid w:val="005219CF"/>
    <w:rsid w:val="00531B15"/>
    <w:rsid w:val="00532E49"/>
    <w:rsid w:val="005339F3"/>
    <w:rsid w:val="00534B59"/>
    <w:rsid w:val="00535A4D"/>
    <w:rsid w:val="00536759"/>
    <w:rsid w:val="00537C62"/>
    <w:rsid w:val="00546970"/>
    <w:rsid w:val="005532E2"/>
    <w:rsid w:val="00554E19"/>
    <w:rsid w:val="005554FB"/>
    <w:rsid w:val="0056121F"/>
    <w:rsid w:val="00564FFF"/>
    <w:rsid w:val="00570C92"/>
    <w:rsid w:val="00572505"/>
    <w:rsid w:val="00582809"/>
    <w:rsid w:val="00587226"/>
    <w:rsid w:val="0058798C"/>
    <w:rsid w:val="005900FA"/>
    <w:rsid w:val="00591369"/>
    <w:rsid w:val="005914E8"/>
    <w:rsid w:val="005935A4"/>
    <w:rsid w:val="005939B9"/>
    <w:rsid w:val="00594168"/>
    <w:rsid w:val="005948C2"/>
    <w:rsid w:val="00595268"/>
    <w:rsid w:val="00595DCA"/>
    <w:rsid w:val="0059779B"/>
    <w:rsid w:val="005A209A"/>
    <w:rsid w:val="005A2EEC"/>
    <w:rsid w:val="005A3507"/>
    <w:rsid w:val="005A4FDD"/>
    <w:rsid w:val="005A55B9"/>
    <w:rsid w:val="005A662D"/>
    <w:rsid w:val="005A7FCA"/>
    <w:rsid w:val="005B1409"/>
    <w:rsid w:val="005B35D7"/>
    <w:rsid w:val="005B392A"/>
    <w:rsid w:val="005B3AA3"/>
    <w:rsid w:val="005B4E2C"/>
    <w:rsid w:val="005B6F83"/>
    <w:rsid w:val="005B7B4F"/>
    <w:rsid w:val="005C3428"/>
    <w:rsid w:val="005C6706"/>
    <w:rsid w:val="005C74FB"/>
    <w:rsid w:val="005D1602"/>
    <w:rsid w:val="005D272C"/>
    <w:rsid w:val="005D63E1"/>
    <w:rsid w:val="005E385F"/>
    <w:rsid w:val="005E5B81"/>
    <w:rsid w:val="005F2CB1"/>
    <w:rsid w:val="005F3025"/>
    <w:rsid w:val="005F43B0"/>
    <w:rsid w:val="005F618C"/>
    <w:rsid w:val="005F70BD"/>
    <w:rsid w:val="0060283C"/>
    <w:rsid w:val="00604300"/>
    <w:rsid w:val="00604F14"/>
    <w:rsid w:val="00605E8A"/>
    <w:rsid w:val="00611B83"/>
    <w:rsid w:val="00613257"/>
    <w:rsid w:val="00614A96"/>
    <w:rsid w:val="00620A71"/>
    <w:rsid w:val="00620D80"/>
    <w:rsid w:val="006234A6"/>
    <w:rsid w:val="00630001"/>
    <w:rsid w:val="006311B3"/>
    <w:rsid w:val="0063284C"/>
    <w:rsid w:val="00634640"/>
    <w:rsid w:val="00636398"/>
    <w:rsid w:val="006368D3"/>
    <w:rsid w:val="00636C60"/>
    <w:rsid w:val="006377EC"/>
    <w:rsid w:val="0064151F"/>
    <w:rsid w:val="00641533"/>
    <w:rsid w:val="0064180B"/>
    <w:rsid w:val="0064208D"/>
    <w:rsid w:val="00643475"/>
    <w:rsid w:val="0064396A"/>
    <w:rsid w:val="00645BBD"/>
    <w:rsid w:val="0064624E"/>
    <w:rsid w:val="00650AB9"/>
    <w:rsid w:val="00652FD9"/>
    <w:rsid w:val="00655733"/>
    <w:rsid w:val="00655ACD"/>
    <w:rsid w:val="00656002"/>
    <w:rsid w:val="00656A92"/>
    <w:rsid w:val="00656DDE"/>
    <w:rsid w:val="0066011D"/>
    <w:rsid w:val="006607C0"/>
    <w:rsid w:val="006613A6"/>
    <w:rsid w:val="006627A2"/>
    <w:rsid w:val="006634E6"/>
    <w:rsid w:val="006655EE"/>
    <w:rsid w:val="00667EE7"/>
    <w:rsid w:val="00670922"/>
    <w:rsid w:val="00670BE1"/>
    <w:rsid w:val="0067172E"/>
    <w:rsid w:val="0067218F"/>
    <w:rsid w:val="006741F2"/>
    <w:rsid w:val="00674CC3"/>
    <w:rsid w:val="00675C72"/>
    <w:rsid w:val="006771F9"/>
    <w:rsid w:val="006776D7"/>
    <w:rsid w:val="00681003"/>
    <w:rsid w:val="006817C9"/>
    <w:rsid w:val="00683ECE"/>
    <w:rsid w:val="00693731"/>
    <w:rsid w:val="00695FC2"/>
    <w:rsid w:val="00696949"/>
    <w:rsid w:val="00697052"/>
    <w:rsid w:val="006A46FB"/>
    <w:rsid w:val="006A5E28"/>
    <w:rsid w:val="006A697B"/>
    <w:rsid w:val="006A7AFF"/>
    <w:rsid w:val="006B1816"/>
    <w:rsid w:val="006B2099"/>
    <w:rsid w:val="006B50CF"/>
    <w:rsid w:val="006B799E"/>
    <w:rsid w:val="006C03B8"/>
    <w:rsid w:val="006C5EC9"/>
    <w:rsid w:val="006C6059"/>
    <w:rsid w:val="006C7522"/>
    <w:rsid w:val="006C7CD0"/>
    <w:rsid w:val="006D3E61"/>
    <w:rsid w:val="006D402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86A"/>
    <w:rsid w:val="00704EDB"/>
    <w:rsid w:val="00706101"/>
    <w:rsid w:val="00707072"/>
    <w:rsid w:val="00707D61"/>
    <w:rsid w:val="00712287"/>
    <w:rsid w:val="00712772"/>
    <w:rsid w:val="007128E9"/>
    <w:rsid w:val="007148D3"/>
    <w:rsid w:val="00715B9A"/>
    <w:rsid w:val="00721A71"/>
    <w:rsid w:val="007257D0"/>
    <w:rsid w:val="00726EA6"/>
    <w:rsid w:val="00727208"/>
    <w:rsid w:val="00727680"/>
    <w:rsid w:val="00727FA3"/>
    <w:rsid w:val="007326B5"/>
    <w:rsid w:val="0073337F"/>
    <w:rsid w:val="007348B1"/>
    <w:rsid w:val="007362A6"/>
    <w:rsid w:val="00736D7D"/>
    <w:rsid w:val="00740466"/>
    <w:rsid w:val="00740E58"/>
    <w:rsid w:val="007445A0"/>
    <w:rsid w:val="0074524B"/>
    <w:rsid w:val="00747D8B"/>
    <w:rsid w:val="00751228"/>
    <w:rsid w:val="007571E1"/>
    <w:rsid w:val="00757A16"/>
    <w:rsid w:val="007604B2"/>
    <w:rsid w:val="00762329"/>
    <w:rsid w:val="00763DA3"/>
    <w:rsid w:val="00765281"/>
    <w:rsid w:val="00765A05"/>
    <w:rsid w:val="00765E38"/>
    <w:rsid w:val="00766BAD"/>
    <w:rsid w:val="00770C48"/>
    <w:rsid w:val="007729A2"/>
    <w:rsid w:val="007755F2"/>
    <w:rsid w:val="00776971"/>
    <w:rsid w:val="00780A80"/>
    <w:rsid w:val="0078177E"/>
    <w:rsid w:val="0078304C"/>
    <w:rsid w:val="0078346E"/>
    <w:rsid w:val="00783673"/>
    <w:rsid w:val="00785490"/>
    <w:rsid w:val="007925EA"/>
    <w:rsid w:val="00793444"/>
    <w:rsid w:val="00793CD8"/>
    <w:rsid w:val="007944FD"/>
    <w:rsid w:val="00795058"/>
    <w:rsid w:val="00795C92"/>
    <w:rsid w:val="00796231"/>
    <w:rsid w:val="007A1255"/>
    <w:rsid w:val="007A1CB3"/>
    <w:rsid w:val="007A306F"/>
    <w:rsid w:val="007A43A6"/>
    <w:rsid w:val="007A44D8"/>
    <w:rsid w:val="007A58A6"/>
    <w:rsid w:val="007B3D2D"/>
    <w:rsid w:val="007B50AE"/>
    <w:rsid w:val="007B51DF"/>
    <w:rsid w:val="007C05DD"/>
    <w:rsid w:val="007C0A8E"/>
    <w:rsid w:val="007C3D18"/>
    <w:rsid w:val="007C60BF"/>
    <w:rsid w:val="007C6A07"/>
    <w:rsid w:val="007C75A1"/>
    <w:rsid w:val="007C77A5"/>
    <w:rsid w:val="007D04E5"/>
    <w:rsid w:val="007D5901"/>
    <w:rsid w:val="007D7526"/>
    <w:rsid w:val="007E4610"/>
    <w:rsid w:val="007E4715"/>
    <w:rsid w:val="007E505B"/>
    <w:rsid w:val="007E7091"/>
    <w:rsid w:val="007F14D3"/>
    <w:rsid w:val="007F25FA"/>
    <w:rsid w:val="007F4E4C"/>
    <w:rsid w:val="00803FAE"/>
    <w:rsid w:val="0080605F"/>
    <w:rsid w:val="00806C85"/>
    <w:rsid w:val="00807786"/>
    <w:rsid w:val="00811C66"/>
    <w:rsid w:val="00811FCB"/>
    <w:rsid w:val="00813127"/>
    <w:rsid w:val="008158D6"/>
    <w:rsid w:val="00817196"/>
    <w:rsid w:val="008201DE"/>
    <w:rsid w:val="00821D94"/>
    <w:rsid w:val="008235DB"/>
    <w:rsid w:val="00824AB4"/>
    <w:rsid w:val="00825C42"/>
    <w:rsid w:val="00825D25"/>
    <w:rsid w:val="00827D6F"/>
    <w:rsid w:val="00830BF3"/>
    <w:rsid w:val="00832986"/>
    <w:rsid w:val="008376AC"/>
    <w:rsid w:val="00841A04"/>
    <w:rsid w:val="008444E8"/>
    <w:rsid w:val="00844E80"/>
    <w:rsid w:val="00846FE7"/>
    <w:rsid w:val="008474E5"/>
    <w:rsid w:val="00847C07"/>
    <w:rsid w:val="00856911"/>
    <w:rsid w:val="00863A30"/>
    <w:rsid w:val="008677FD"/>
    <w:rsid w:val="008706D4"/>
    <w:rsid w:val="00870F8A"/>
    <w:rsid w:val="00871917"/>
    <w:rsid w:val="008719A4"/>
    <w:rsid w:val="00871D23"/>
    <w:rsid w:val="00874312"/>
    <w:rsid w:val="0087437C"/>
    <w:rsid w:val="00875CD7"/>
    <w:rsid w:val="008765B1"/>
    <w:rsid w:val="00876B4D"/>
    <w:rsid w:val="00877E73"/>
    <w:rsid w:val="00877F18"/>
    <w:rsid w:val="00880683"/>
    <w:rsid w:val="008854D8"/>
    <w:rsid w:val="008917A2"/>
    <w:rsid w:val="008941E3"/>
    <w:rsid w:val="00894A88"/>
    <w:rsid w:val="00894D77"/>
    <w:rsid w:val="008952BA"/>
    <w:rsid w:val="00895386"/>
    <w:rsid w:val="008A21FF"/>
    <w:rsid w:val="008A2CE2"/>
    <w:rsid w:val="008A30AC"/>
    <w:rsid w:val="008A44B8"/>
    <w:rsid w:val="008A4F3E"/>
    <w:rsid w:val="008A51A8"/>
    <w:rsid w:val="008A54C7"/>
    <w:rsid w:val="008A77D8"/>
    <w:rsid w:val="008B0483"/>
    <w:rsid w:val="008B120C"/>
    <w:rsid w:val="008B387D"/>
    <w:rsid w:val="008B51A0"/>
    <w:rsid w:val="008B592A"/>
    <w:rsid w:val="008B7B5C"/>
    <w:rsid w:val="008C0C99"/>
    <w:rsid w:val="008C2017"/>
    <w:rsid w:val="008C4958"/>
    <w:rsid w:val="008C4BAA"/>
    <w:rsid w:val="008C52D4"/>
    <w:rsid w:val="008C6AE8"/>
    <w:rsid w:val="008C7573"/>
    <w:rsid w:val="008D00A5"/>
    <w:rsid w:val="008D34F1"/>
    <w:rsid w:val="008D39D8"/>
    <w:rsid w:val="008D6D1A"/>
    <w:rsid w:val="008E065E"/>
    <w:rsid w:val="008E0927"/>
    <w:rsid w:val="008E1909"/>
    <w:rsid w:val="008E6199"/>
    <w:rsid w:val="008F1EAB"/>
    <w:rsid w:val="008F2EC6"/>
    <w:rsid w:val="008F33DC"/>
    <w:rsid w:val="008F477F"/>
    <w:rsid w:val="00900B76"/>
    <w:rsid w:val="00902350"/>
    <w:rsid w:val="00903054"/>
    <w:rsid w:val="0090336B"/>
    <w:rsid w:val="009053AA"/>
    <w:rsid w:val="00906939"/>
    <w:rsid w:val="00910B7D"/>
    <w:rsid w:val="00911DFB"/>
    <w:rsid w:val="009139D9"/>
    <w:rsid w:val="00914AD8"/>
    <w:rsid w:val="00916079"/>
    <w:rsid w:val="00917CE9"/>
    <w:rsid w:val="00920BF2"/>
    <w:rsid w:val="00922010"/>
    <w:rsid w:val="0092353E"/>
    <w:rsid w:val="009243FA"/>
    <w:rsid w:val="009263A6"/>
    <w:rsid w:val="00931BD9"/>
    <w:rsid w:val="00933403"/>
    <w:rsid w:val="00933532"/>
    <w:rsid w:val="00933F1A"/>
    <w:rsid w:val="009368F3"/>
    <w:rsid w:val="00937B32"/>
    <w:rsid w:val="00940EF5"/>
    <w:rsid w:val="00941636"/>
    <w:rsid w:val="00943742"/>
    <w:rsid w:val="00945C05"/>
    <w:rsid w:val="00946945"/>
    <w:rsid w:val="0094706A"/>
    <w:rsid w:val="00947713"/>
    <w:rsid w:val="00950DE7"/>
    <w:rsid w:val="00953920"/>
    <w:rsid w:val="00953D47"/>
    <w:rsid w:val="0095681E"/>
    <w:rsid w:val="009572D4"/>
    <w:rsid w:val="009615CA"/>
    <w:rsid w:val="00961921"/>
    <w:rsid w:val="009642F4"/>
    <w:rsid w:val="0096430A"/>
    <w:rsid w:val="0096554B"/>
    <w:rsid w:val="0096584A"/>
    <w:rsid w:val="0097014A"/>
    <w:rsid w:val="0097177F"/>
    <w:rsid w:val="00971F08"/>
    <w:rsid w:val="0097603D"/>
    <w:rsid w:val="00976949"/>
    <w:rsid w:val="00980477"/>
    <w:rsid w:val="00983C0A"/>
    <w:rsid w:val="00985253"/>
    <w:rsid w:val="009853B3"/>
    <w:rsid w:val="009872F4"/>
    <w:rsid w:val="00990630"/>
    <w:rsid w:val="00991761"/>
    <w:rsid w:val="00992AD4"/>
    <w:rsid w:val="00994DCA"/>
    <w:rsid w:val="009960EC"/>
    <w:rsid w:val="009970DD"/>
    <w:rsid w:val="009A0822"/>
    <w:rsid w:val="009A0FBA"/>
    <w:rsid w:val="009A1601"/>
    <w:rsid w:val="009A3BB6"/>
    <w:rsid w:val="009A462D"/>
    <w:rsid w:val="009A5CBA"/>
    <w:rsid w:val="009B1F30"/>
    <w:rsid w:val="009B2719"/>
    <w:rsid w:val="009B3AC2"/>
    <w:rsid w:val="009B4DF4"/>
    <w:rsid w:val="009B564E"/>
    <w:rsid w:val="009B7E87"/>
    <w:rsid w:val="009C0169"/>
    <w:rsid w:val="009C3680"/>
    <w:rsid w:val="009C403E"/>
    <w:rsid w:val="009D0160"/>
    <w:rsid w:val="009D1E23"/>
    <w:rsid w:val="009D4FF0"/>
    <w:rsid w:val="009D624E"/>
    <w:rsid w:val="009D703C"/>
    <w:rsid w:val="009D718F"/>
    <w:rsid w:val="009D7A87"/>
    <w:rsid w:val="009D7D68"/>
    <w:rsid w:val="009E068F"/>
    <w:rsid w:val="009E14E0"/>
    <w:rsid w:val="009E35DB"/>
    <w:rsid w:val="009E47A3"/>
    <w:rsid w:val="009F08F3"/>
    <w:rsid w:val="009F344F"/>
    <w:rsid w:val="00A02BE8"/>
    <w:rsid w:val="00A031D8"/>
    <w:rsid w:val="00A048A8"/>
    <w:rsid w:val="00A04F49"/>
    <w:rsid w:val="00A07E44"/>
    <w:rsid w:val="00A13E54"/>
    <w:rsid w:val="00A16816"/>
    <w:rsid w:val="00A17F63"/>
    <w:rsid w:val="00A2193B"/>
    <w:rsid w:val="00A224D3"/>
    <w:rsid w:val="00A2351A"/>
    <w:rsid w:val="00A25E49"/>
    <w:rsid w:val="00A264A9"/>
    <w:rsid w:val="00A26DCF"/>
    <w:rsid w:val="00A27785"/>
    <w:rsid w:val="00A30187"/>
    <w:rsid w:val="00A3448A"/>
    <w:rsid w:val="00A36297"/>
    <w:rsid w:val="00A41E2B"/>
    <w:rsid w:val="00A45B74"/>
    <w:rsid w:val="00A47E90"/>
    <w:rsid w:val="00A52E1D"/>
    <w:rsid w:val="00A5768B"/>
    <w:rsid w:val="00A61499"/>
    <w:rsid w:val="00A62A77"/>
    <w:rsid w:val="00A63483"/>
    <w:rsid w:val="00A657D7"/>
    <w:rsid w:val="00A6583A"/>
    <w:rsid w:val="00A660AC"/>
    <w:rsid w:val="00A66557"/>
    <w:rsid w:val="00A67E53"/>
    <w:rsid w:val="00A67E6C"/>
    <w:rsid w:val="00A67E77"/>
    <w:rsid w:val="00A717E3"/>
    <w:rsid w:val="00A71B99"/>
    <w:rsid w:val="00A739D0"/>
    <w:rsid w:val="00A761D4"/>
    <w:rsid w:val="00A77EC4"/>
    <w:rsid w:val="00A801B6"/>
    <w:rsid w:val="00A861DD"/>
    <w:rsid w:val="00A92879"/>
    <w:rsid w:val="00A9442A"/>
    <w:rsid w:val="00AA016F"/>
    <w:rsid w:val="00AA1ED6"/>
    <w:rsid w:val="00AA51D6"/>
    <w:rsid w:val="00AB07A7"/>
    <w:rsid w:val="00AB0BC8"/>
    <w:rsid w:val="00AB11CA"/>
    <w:rsid w:val="00AB14D9"/>
    <w:rsid w:val="00AB4AB8"/>
    <w:rsid w:val="00AB655E"/>
    <w:rsid w:val="00AB7938"/>
    <w:rsid w:val="00AC007F"/>
    <w:rsid w:val="00AC2ECD"/>
    <w:rsid w:val="00AC2FEE"/>
    <w:rsid w:val="00AC3119"/>
    <w:rsid w:val="00AC49FB"/>
    <w:rsid w:val="00AC5A10"/>
    <w:rsid w:val="00AC5C95"/>
    <w:rsid w:val="00AD02A0"/>
    <w:rsid w:val="00AD0AA3"/>
    <w:rsid w:val="00AD3A77"/>
    <w:rsid w:val="00AD3F94"/>
    <w:rsid w:val="00AD4A5A"/>
    <w:rsid w:val="00AE27AC"/>
    <w:rsid w:val="00AE40E0"/>
    <w:rsid w:val="00AE4DBA"/>
    <w:rsid w:val="00AE4F07"/>
    <w:rsid w:val="00AF1C5D"/>
    <w:rsid w:val="00AF42D7"/>
    <w:rsid w:val="00AF5CEE"/>
    <w:rsid w:val="00B006FE"/>
    <w:rsid w:val="00B007CB"/>
    <w:rsid w:val="00B02AA9"/>
    <w:rsid w:val="00B02FA3"/>
    <w:rsid w:val="00B05084"/>
    <w:rsid w:val="00B06A07"/>
    <w:rsid w:val="00B157F9"/>
    <w:rsid w:val="00B20256"/>
    <w:rsid w:val="00B202FF"/>
    <w:rsid w:val="00B20D09"/>
    <w:rsid w:val="00B22370"/>
    <w:rsid w:val="00B22B60"/>
    <w:rsid w:val="00B2763F"/>
    <w:rsid w:val="00B27AAC"/>
    <w:rsid w:val="00B30929"/>
    <w:rsid w:val="00B31CC9"/>
    <w:rsid w:val="00B34148"/>
    <w:rsid w:val="00B372AA"/>
    <w:rsid w:val="00B40445"/>
    <w:rsid w:val="00B409E0"/>
    <w:rsid w:val="00B41888"/>
    <w:rsid w:val="00B45A52"/>
    <w:rsid w:val="00B46175"/>
    <w:rsid w:val="00B5108E"/>
    <w:rsid w:val="00B53215"/>
    <w:rsid w:val="00B53E16"/>
    <w:rsid w:val="00B548B7"/>
    <w:rsid w:val="00B55538"/>
    <w:rsid w:val="00B664C7"/>
    <w:rsid w:val="00B66B82"/>
    <w:rsid w:val="00B739F6"/>
    <w:rsid w:val="00B81A6C"/>
    <w:rsid w:val="00B85DE5"/>
    <w:rsid w:val="00B90F73"/>
    <w:rsid w:val="00B93B59"/>
    <w:rsid w:val="00B94008"/>
    <w:rsid w:val="00B9406A"/>
    <w:rsid w:val="00B96A6F"/>
    <w:rsid w:val="00BA2280"/>
    <w:rsid w:val="00BA2A08"/>
    <w:rsid w:val="00BA2D2E"/>
    <w:rsid w:val="00BA426C"/>
    <w:rsid w:val="00BA56D2"/>
    <w:rsid w:val="00BA76E0"/>
    <w:rsid w:val="00BB2A25"/>
    <w:rsid w:val="00BB51E9"/>
    <w:rsid w:val="00BB669A"/>
    <w:rsid w:val="00BC0FDC"/>
    <w:rsid w:val="00BC3053"/>
    <w:rsid w:val="00BC4D2E"/>
    <w:rsid w:val="00BD4038"/>
    <w:rsid w:val="00BD48AC"/>
    <w:rsid w:val="00BD5F1A"/>
    <w:rsid w:val="00BD653C"/>
    <w:rsid w:val="00BE1234"/>
    <w:rsid w:val="00BE173D"/>
    <w:rsid w:val="00BE2FA6"/>
    <w:rsid w:val="00BE333F"/>
    <w:rsid w:val="00BE39FF"/>
    <w:rsid w:val="00BE5546"/>
    <w:rsid w:val="00BE7406"/>
    <w:rsid w:val="00BE7603"/>
    <w:rsid w:val="00BE7E38"/>
    <w:rsid w:val="00BF3279"/>
    <w:rsid w:val="00BF74C7"/>
    <w:rsid w:val="00C015F1"/>
    <w:rsid w:val="00C01F33"/>
    <w:rsid w:val="00C02CC6"/>
    <w:rsid w:val="00C040F7"/>
    <w:rsid w:val="00C044AB"/>
    <w:rsid w:val="00C05706"/>
    <w:rsid w:val="00C07074"/>
    <w:rsid w:val="00C07377"/>
    <w:rsid w:val="00C10478"/>
    <w:rsid w:val="00C12107"/>
    <w:rsid w:val="00C14D4B"/>
    <w:rsid w:val="00C154BB"/>
    <w:rsid w:val="00C268E6"/>
    <w:rsid w:val="00C279B5"/>
    <w:rsid w:val="00C27C45"/>
    <w:rsid w:val="00C3208F"/>
    <w:rsid w:val="00C33707"/>
    <w:rsid w:val="00C35328"/>
    <w:rsid w:val="00C3719D"/>
    <w:rsid w:val="00C37CB2"/>
    <w:rsid w:val="00C42F0E"/>
    <w:rsid w:val="00C4693C"/>
    <w:rsid w:val="00C473A5"/>
    <w:rsid w:val="00C54365"/>
    <w:rsid w:val="00C54995"/>
    <w:rsid w:val="00C54D41"/>
    <w:rsid w:val="00C60783"/>
    <w:rsid w:val="00C64672"/>
    <w:rsid w:val="00C64B60"/>
    <w:rsid w:val="00C70697"/>
    <w:rsid w:val="00C712E3"/>
    <w:rsid w:val="00C72093"/>
    <w:rsid w:val="00C72EF4"/>
    <w:rsid w:val="00C744FE"/>
    <w:rsid w:val="00C75D2F"/>
    <w:rsid w:val="00C75FEC"/>
    <w:rsid w:val="00C76127"/>
    <w:rsid w:val="00C767BE"/>
    <w:rsid w:val="00C76E3C"/>
    <w:rsid w:val="00C7772B"/>
    <w:rsid w:val="00C77867"/>
    <w:rsid w:val="00C80E81"/>
    <w:rsid w:val="00C81568"/>
    <w:rsid w:val="00C815FC"/>
    <w:rsid w:val="00C8176F"/>
    <w:rsid w:val="00C81D61"/>
    <w:rsid w:val="00C9027A"/>
    <w:rsid w:val="00C9068E"/>
    <w:rsid w:val="00C93814"/>
    <w:rsid w:val="00C93C4B"/>
    <w:rsid w:val="00C944AB"/>
    <w:rsid w:val="00C95B40"/>
    <w:rsid w:val="00C97FF5"/>
    <w:rsid w:val="00CA1ED8"/>
    <w:rsid w:val="00CB1F63"/>
    <w:rsid w:val="00CB4EFA"/>
    <w:rsid w:val="00CB6562"/>
    <w:rsid w:val="00CB6AAE"/>
    <w:rsid w:val="00CB7170"/>
    <w:rsid w:val="00CC040E"/>
    <w:rsid w:val="00CC111F"/>
    <w:rsid w:val="00CC2011"/>
    <w:rsid w:val="00CC3EA0"/>
    <w:rsid w:val="00CC7B45"/>
    <w:rsid w:val="00CD1188"/>
    <w:rsid w:val="00CD2ED1"/>
    <w:rsid w:val="00CD337B"/>
    <w:rsid w:val="00CD5F40"/>
    <w:rsid w:val="00CD6AE5"/>
    <w:rsid w:val="00CE0232"/>
    <w:rsid w:val="00CE0424"/>
    <w:rsid w:val="00CE6A49"/>
    <w:rsid w:val="00CE73AF"/>
    <w:rsid w:val="00CE7561"/>
    <w:rsid w:val="00CF1354"/>
    <w:rsid w:val="00CF3B1F"/>
    <w:rsid w:val="00CF3BF6"/>
    <w:rsid w:val="00CF625B"/>
    <w:rsid w:val="00CF687E"/>
    <w:rsid w:val="00D0349B"/>
    <w:rsid w:val="00D0382D"/>
    <w:rsid w:val="00D05B07"/>
    <w:rsid w:val="00D07AEF"/>
    <w:rsid w:val="00D10249"/>
    <w:rsid w:val="00D115C3"/>
    <w:rsid w:val="00D11897"/>
    <w:rsid w:val="00D13135"/>
    <w:rsid w:val="00D13E4E"/>
    <w:rsid w:val="00D14928"/>
    <w:rsid w:val="00D162B4"/>
    <w:rsid w:val="00D201C1"/>
    <w:rsid w:val="00D22D09"/>
    <w:rsid w:val="00D239A7"/>
    <w:rsid w:val="00D23F47"/>
    <w:rsid w:val="00D36E71"/>
    <w:rsid w:val="00D37D87"/>
    <w:rsid w:val="00D40B33"/>
    <w:rsid w:val="00D4318F"/>
    <w:rsid w:val="00D438BF"/>
    <w:rsid w:val="00D440F8"/>
    <w:rsid w:val="00D47116"/>
    <w:rsid w:val="00D501CC"/>
    <w:rsid w:val="00D546FF"/>
    <w:rsid w:val="00D558D9"/>
    <w:rsid w:val="00D55AD5"/>
    <w:rsid w:val="00D576CA"/>
    <w:rsid w:val="00D60E2D"/>
    <w:rsid w:val="00D61AF5"/>
    <w:rsid w:val="00D652B5"/>
    <w:rsid w:val="00D66155"/>
    <w:rsid w:val="00D669D3"/>
    <w:rsid w:val="00D708B0"/>
    <w:rsid w:val="00D726AE"/>
    <w:rsid w:val="00D77777"/>
    <w:rsid w:val="00D77B1D"/>
    <w:rsid w:val="00D8021F"/>
    <w:rsid w:val="00D80383"/>
    <w:rsid w:val="00D8101C"/>
    <w:rsid w:val="00D823C6"/>
    <w:rsid w:val="00D8327F"/>
    <w:rsid w:val="00D85F1B"/>
    <w:rsid w:val="00D86CA3"/>
    <w:rsid w:val="00D871CE"/>
    <w:rsid w:val="00D9196D"/>
    <w:rsid w:val="00D92982"/>
    <w:rsid w:val="00D93948"/>
    <w:rsid w:val="00DA305E"/>
    <w:rsid w:val="00DA5417"/>
    <w:rsid w:val="00DA56E8"/>
    <w:rsid w:val="00DB0A9F"/>
    <w:rsid w:val="00DB377D"/>
    <w:rsid w:val="00DC2D36"/>
    <w:rsid w:val="00DC53EF"/>
    <w:rsid w:val="00DE5608"/>
    <w:rsid w:val="00DE58D0"/>
    <w:rsid w:val="00DE654F"/>
    <w:rsid w:val="00DF0B6E"/>
    <w:rsid w:val="00DF15E0"/>
    <w:rsid w:val="00DF37A0"/>
    <w:rsid w:val="00DF4D12"/>
    <w:rsid w:val="00DF66E1"/>
    <w:rsid w:val="00DF690B"/>
    <w:rsid w:val="00E110E7"/>
    <w:rsid w:val="00E11B20"/>
    <w:rsid w:val="00E14202"/>
    <w:rsid w:val="00E17FA2"/>
    <w:rsid w:val="00E22330"/>
    <w:rsid w:val="00E23B5A"/>
    <w:rsid w:val="00E2594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75B"/>
    <w:rsid w:val="00E54E3B"/>
    <w:rsid w:val="00E57565"/>
    <w:rsid w:val="00E63344"/>
    <w:rsid w:val="00E63838"/>
    <w:rsid w:val="00E64434"/>
    <w:rsid w:val="00E66380"/>
    <w:rsid w:val="00E67C36"/>
    <w:rsid w:val="00E67C51"/>
    <w:rsid w:val="00E72EFC"/>
    <w:rsid w:val="00E758EC"/>
    <w:rsid w:val="00E8234C"/>
    <w:rsid w:val="00E83AA9"/>
    <w:rsid w:val="00E85928"/>
    <w:rsid w:val="00E859C5"/>
    <w:rsid w:val="00E86EE3"/>
    <w:rsid w:val="00E87822"/>
    <w:rsid w:val="00E90395"/>
    <w:rsid w:val="00E90E49"/>
    <w:rsid w:val="00E917F9"/>
    <w:rsid w:val="00E9291C"/>
    <w:rsid w:val="00E93667"/>
    <w:rsid w:val="00E93FFE"/>
    <w:rsid w:val="00E94F8A"/>
    <w:rsid w:val="00E96956"/>
    <w:rsid w:val="00EA0ADB"/>
    <w:rsid w:val="00EA19F4"/>
    <w:rsid w:val="00EA1C1C"/>
    <w:rsid w:val="00EA76F5"/>
    <w:rsid w:val="00EA7A41"/>
    <w:rsid w:val="00EB077B"/>
    <w:rsid w:val="00EB37C6"/>
    <w:rsid w:val="00EB4EA2"/>
    <w:rsid w:val="00EC24D5"/>
    <w:rsid w:val="00EC27C6"/>
    <w:rsid w:val="00EC4207"/>
    <w:rsid w:val="00EC5653"/>
    <w:rsid w:val="00EC71CE"/>
    <w:rsid w:val="00ED1006"/>
    <w:rsid w:val="00ED4FA0"/>
    <w:rsid w:val="00EE424A"/>
    <w:rsid w:val="00EE4D69"/>
    <w:rsid w:val="00EF18FE"/>
    <w:rsid w:val="00EF5787"/>
    <w:rsid w:val="00EF59F1"/>
    <w:rsid w:val="00EF60D0"/>
    <w:rsid w:val="00F0528D"/>
    <w:rsid w:val="00F06C67"/>
    <w:rsid w:val="00F06DFD"/>
    <w:rsid w:val="00F071D1"/>
    <w:rsid w:val="00F07533"/>
    <w:rsid w:val="00F10629"/>
    <w:rsid w:val="00F1156D"/>
    <w:rsid w:val="00F130D3"/>
    <w:rsid w:val="00F13418"/>
    <w:rsid w:val="00F15B76"/>
    <w:rsid w:val="00F15C28"/>
    <w:rsid w:val="00F15FA5"/>
    <w:rsid w:val="00F209B7"/>
    <w:rsid w:val="00F20F5C"/>
    <w:rsid w:val="00F2376F"/>
    <w:rsid w:val="00F243D8"/>
    <w:rsid w:val="00F30828"/>
    <w:rsid w:val="00F313D6"/>
    <w:rsid w:val="00F3650D"/>
    <w:rsid w:val="00F40F0C"/>
    <w:rsid w:val="00F4644E"/>
    <w:rsid w:val="00F47005"/>
    <w:rsid w:val="00F4766C"/>
    <w:rsid w:val="00F47CD4"/>
    <w:rsid w:val="00F5060E"/>
    <w:rsid w:val="00F507D1"/>
    <w:rsid w:val="00F519CE"/>
    <w:rsid w:val="00F51ADA"/>
    <w:rsid w:val="00F51CA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6D2"/>
    <w:rsid w:val="00F96985"/>
    <w:rsid w:val="00F97838"/>
    <w:rsid w:val="00FA2BB3"/>
    <w:rsid w:val="00FA48CB"/>
    <w:rsid w:val="00FB3CFE"/>
    <w:rsid w:val="00FB4C80"/>
    <w:rsid w:val="00FB6A6A"/>
    <w:rsid w:val="00FC7429"/>
    <w:rsid w:val="00FC78B4"/>
    <w:rsid w:val="00FD07F6"/>
    <w:rsid w:val="00FD14D6"/>
    <w:rsid w:val="00FD1EC8"/>
    <w:rsid w:val="00FD47ED"/>
    <w:rsid w:val="00FD74DB"/>
    <w:rsid w:val="00FD7660"/>
    <w:rsid w:val="00FE0655"/>
    <w:rsid w:val="00FE2365"/>
    <w:rsid w:val="00FE319F"/>
    <w:rsid w:val="00FE37D7"/>
    <w:rsid w:val="00FE4C7B"/>
    <w:rsid w:val="00FE7336"/>
    <w:rsid w:val="00FE787C"/>
    <w:rsid w:val="00FF3B47"/>
    <w:rsid w:val="00FF45A5"/>
    <w:rsid w:val="00FF5247"/>
    <w:rsid w:val="00FF5C91"/>
    <w:rsid w:val="00FF6EC3"/>
    <w:rsid w:val="07AE81B5"/>
    <w:rsid w:val="07B5404B"/>
    <w:rsid w:val="0A7C1127"/>
    <w:rsid w:val="1364EF35"/>
    <w:rsid w:val="17999891"/>
    <w:rsid w:val="1AAB3F7A"/>
    <w:rsid w:val="1DD6ED76"/>
    <w:rsid w:val="1E0B500A"/>
    <w:rsid w:val="1E78DEAA"/>
    <w:rsid w:val="2387D876"/>
    <w:rsid w:val="2954C5CC"/>
    <w:rsid w:val="31D049A0"/>
    <w:rsid w:val="3A17A216"/>
    <w:rsid w:val="3CE0155E"/>
    <w:rsid w:val="3DDFAB20"/>
    <w:rsid w:val="4380DAE0"/>
    <w:rsid w:val="44BF99BC"/>
    <w:rsid w:val="46B074D4"/>
    <w:rsid w:val="48593CFA"/>
    <w:rsid w:val="49B8749B"/>
    <w:rsid w:val="4A684DFF"/>
    <w:rsid w:val="625DD0AE"/>
    <w:rsid w:val="6285BCF2"/>
    <w:rsid w:val="667B06AF"/>
    <w:rsid w:val="6A8955F2"/>
    <w:rsid w:val="6D8D0168"/>
    <w:rsid w:val="6E9C4A00"/>
    <w:rsid w:val="70125B7D"/>
    <w:rsid w:val="719C9F81"/>
    <w:rsid w:val="74B13ACA"/>
    <w:rsid w:val="76074F47"/>
    <w:rsid w:val="7AF6A33A"/>
    <w:rsid w:val="7E46D4E1"/>
    <w:rsid w:val="7F8018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3D256B09-66AF-4E8E-A53B-FE4378C8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F3B47"/>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Revision">
    <w:name w:val="Revision"/>
    <w:hidden/>
    <w:uiPriority w:val="99"/>
    <w:semiHidden/>
    <w:rsid w:val="000A22EF"/>
    <w:rPr>
      <w:rFonts w:ascii="Times New Roman" w:hAnsi="Times New Roman"/>
      <w:lang w:eastAsia="ja-JP"/>
    </w:rPr>
  </w:style>
  <w:style w:type="character" w:styleId="Mention">
    <w:name w:val="Mention"/>
    <w:basedOn w:val="DefaultParagraphFont"/>
    <w:uiPriority w:val="99"/>
    <w:unhideWhenUsed/>
    <w:rsid w:val="004913F7"/>
    <w:rPr>
      <w:color w:val="2B579A"/>
      <w:shd w:val="clear" w:color="auto" w:fill="E1DFDD"/>
    </w:rPr>
  </w:style>
  <w:style w:type="character" w:customStyle="1" w:styleId="maintextChar">
    <w:name w:val="main text Char"/>
    <w:link w:val="maintext"/>
    <w:qFormat/>
    <w:locked/>
    <w:rsid w:val="00E67C36"/>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E67C36"/>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Agreement">
    <w:name w:val="Agreement"/>
    <w:basedOn w:val="Normal"/>
    <w:next w:val="Doc-text2"/>
    <w:qFormat/>
    <w:rsid w:val="00F3650D"/>
    <w:pPr>
      <w:numPr>
        <w:numId w:val="37"/>
      </w:numPr>
      <w:tabs>
        <w:tab w:val="clear" w:pos="1352"/>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921717926">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 w:id="195509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48FED9F-CBD2-418F-B2AA-A527BC332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http://purl.org/dc/elements/1.1/"/>
    <ds:schemaRef ds:uri="http://schemas.microsoft.com/office/2006/metadata/properties"/>
    <ds:schemaRef ds:uri="http://purl.org/dc/terms/"/>
    <ds:schemaRef ds:uri="http://schemas.microsoft.com/office/infopath/2007/PartnerControls"/>
    <ds:schemaRef ds:uri="d8762117-8292-4133-b1c7-eab5c6487cfd"/>
    <ds:schemaRef ds:uri="http://schemas.openxmlformats.org/package/2006/metadata/core-properties"/>
    <ds:schemaRef ds:uri="9b239327-9e80-40e4-b1b7-4394fed77a33"/>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9623</CharactersWithSpaces>
  <SharedDoc>false</SharedDoc>
  <HLinks>
    <vt:vector size="72" baseType="variant">
      <vt:variant>
        <vt:i4>1507431</vt:i4>
      </vt:variant>
      <vt:variant>
        <vt:i4>42</vt:i4>
      </vt:variant>
      <vt:variant>
        <vt:i4>0</vt:i4>
      </vt:variant>
      <vt:variant>
        <vt:i4>5</vt:i4>
      </vt:variant>
      <vt:variant>
        <vt:lpwstr>http://www.3gpp.org/ftp//tsg_ran/TSG_RAN/TSGR_96/Docs/RP-221815.zip</vt:lpwstr>
      </vt:variant>
      <vt:variant>
        <vt:lpwstr/>
      </vt:variant>
      <vt:variant>
        <vt:i4>1441852</vt:i4>
      </vt:variant>
      <vt:variant>
        <vt:i4>38</vt:i4>
      </vt:variant>
      <vt:variant>
        <vt:i4>0</vt:i4>
      </vt:variant>
      <vt:variant>
        <vt:i4>5</vt:i4>
      </vt:variant>
      <vt:variant>
        <vt:lpwstr/>
      </vt:variant>
      <vt:variant>
        <vt:lpwstr>_Toc118410448</vt:lpwstr>
      </vt:variant>
      <vt:variant>
        <vt:i4>1441852</vt:i4>
      </vt:variant>
      <vt:variant>
        <vt:i4>35</vt:i4>
      </vt:variant>
      <vt:variant>
        <vt:i4>0</vt:i4>
      </vt:variant>
      <vt:variant>
        <vt:i4>5</vt:i4>
      </vt:variant>
      <vt:variant>
        <vt:lpwstr/>
      </vt:variant>
      <vt:variant>
        <vt:lpwstr>_Toc118410447</vt:lpwstr>
      </vt:variant>
      <vt:variant>
        <vt:i4>1441852</vt:i4>
      </vt:variant>
      <vt:variant>
        <vt:i4>32</vt:i4>
      </vt:variant>
      <vt:variant>
        <vt:i4>0</vt:i4>
      </vt:variant>
      <vt:variant>
        <vt:i4>5</vt:i4>
      </vt:variant>
      <vt:variant>
        <vt:lpwstr/>
      </vt:variant>
      <vt:variant>
        <vt:lpwstr>_Toc118410446</vt:lpwstr>
      </vt:variant>
      <vt:variant>
        <vt:i4>1441852</vt:i4>
      </vt:variant>
      <vt:variant>
        <vt:i4>29</vt:i4>
      </vt:variant>
      <vt:variant>
        <vt:i4>0</vt:i4>
      </vt:variant>
      <vt:variant>
        <vt:i4>5</vt:i4>
      </vt:variant>
      <vt:variant>
        <vt:lpwstr/>
      </vt:variant>
      <vt:variant>
        <vt:lpwstr>_Toc118410445</vt:lpwstr>
      </vt:variant>
      <vt:variant>
        <vt:i4>1441852</vt:i4>
      </vt:variant>
      <vt:variant>
        <vt:i4>26</vt:i4>
      </vt:variant>
      <vt:variant>
        <vt:i4>0</vt:i4>
      </vt:variant>
      <vt:variant>
        <vt:i4>5</vt:i4>
      </vt:variant>
      <vt:variant>
        <vt:lpwstr/>
      </vt:variant>
      <vt:variant>
        <vt:lpwstr>_Toc118410444</vt:lpwstr>
      </vt:variant>
      <vt:variant>
        <vt:i4>1441852</vt:i4>
      </vt:variant>
      <vt:variant>
        <vt:i4>23</vt:i4>
      </vt:variant>
      <vt:variant>
        <vt:i4>0</vt:i4>
      </vt:variant>
      <vt:variant>
        <vt:i4>5</vt:i4>
      </vt:variant>
      <vt:variant>
        <vt:lpwstr/>
      </vt:variant>
      <vt:variant>
        <vt:lpwstr>_Toc118410443</vt:lpwstr>
      </vt:variant>
      <vt:variant>
        <vt:i4>1441852</vt:i4>
      </vt:variant>
      <vt:variant>
        <vt:i4>20</vt:i4>
      </vt:variant>
      <vt:variant>
        <vt:i4>0</vt:i4>
      </vt:variant>
      <vt:variant>
        <vt:i4>5</vt:i4>
      </vt:variant>
      <vt:variant>
        <vt:lpwstr/>
      </vt:variant>
      <vt:variant>
        <vt:lpwstr>_Toc118410442</vt:lpwstr>
      </vt:variant>
      <vt:variant>
        <vt:i4>1900598</vt:i4>
      </vt:variant>
      <vt:variant>
        <vt:i4>14</vt:i4>
      </vt:variant>
      <vt:variant>
        <vt:i4>0</vt:i4>
      </vt:variant>
      <vt:variant>
        <vt:i4>5</vt:i4>
      </vt:variant>
      <vt:variant>
        <vt:lpwstr/>
      </vt:variant>
      <vt:variant>
        <vt:lpwstr>_Toc125646685</vt:lpwstr>
      </vt:variant>
      <vt:variant>
        <vt:i4>1900598</vt:i4>
      </vt:variant>
      <vt:variant>
        <vt:i4>11</vt:i4>
      </vt:variant>
      <vt:variant>
        <vt:i4>0</vt:i4>
      </vt:variant>
      <vt:variant>
        <vt:i4>5</vt:i4>
      </vt:variant>
      <vt:variant>
        <vt:lpwstr/>
      </vt:variant>
      <vt:variant>
        <vt:lpwstr>_Toc125646684</vt:lpwstr>
      </vt:variant>
      <vt:variant>
        <vt:i4>1900598</vt:i4>
      </vt:variant>
      <vt:variant>
        <vt:i4>8</vt:i4>
      </vt:variant>
      <vt:variant>
        <vt:i4>0</vt:i4>
      </vt:variant>
      <vt:variant>
        <vt:i4>5</vt:i4>
      </vt:variant>
      <vt:variant>
        <vt:lpwstr/>
      </vt:variant>
      <vt:variant>
        <vt:lpwstr>_Toc125646683</vt:lpwstr>
      </vt:variant>
      <vt:variant>
        <vt:i4>1900598</vt:i4>
      </vt:variant>
      <vt:variant>
        <vt:i4>5</vt:i4>
      </vt:variant>
      <vt:variant>
        <vt:i4>0</vt:i4>
      </vt:variant>
      <vt:variant>
        <vt:i4>5</vt:i4>
      </vt:variant>
      <vt:variant>
        <vt:lpwstr/>
      </vt:variant>
      <vt:variant>
        <vt:lpwstr>_Toc125646682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Ritesh</cp:lastModifiedBy>
  <cp:revision>2</cp:revision>
  <cp:lastPrinted>2008-01-31T08:09:00Z</cp:lastPrinted>
  <dcterms:created xsi:type="dcterms:W3CDTF">2023-02-16T17:40:00Z</dcterms:created>
  <dcterms:modified xsi:type="dcterms:W3CDTF">2023-02-16T17:40:00Z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